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0"/>
          <w:szCs w:val="30"/>
        </w:rPr>
      </w:pPr>
      <w:bookmarkStart w:id="0" w:name="_Toc16097_WPSOffice_Level1"/>
      <w:bookmarkStart w:id="1" w:name="_Toc13121"/>
      <w:r>
        <w:rPr>
          <w:rFonts w:hint="eastAsia"/>
          <w:b/>
          <w:bCs/>
          <w:sz w:val="30"/>
          <w:szCs w:val="30"/>
          <w:lang w:eastAsia="zh-CN"/>
        </w:rPr>
        <w:t>济南高新技术产业开发区管理委员会城市管理局渣土覆盖项目招标</w:t>
      </w:r>
      <w:r>
        <w:rPr>
          <w:rFonts w:hint="eastAsia"/>
          <w:b/>
          <w:bCs/>
          <w:sz w:val="30"/>
          <w:szCs w:val="30"/>
        </w:rPr>
        <w:t>公告</w:t>
      </w:r>
      <w:bookmarkEnd w:id="0"/>
      <w:bookmarkEnd w:id="1"/>
    </w:p>
    <w:p>
      <w:pPr>
        <w:pageBreakBefore w:val="0"/>
        <w:widowControl/>
        <w:numPr>
          <w:ilvl w:val="0"/>
          <w:numId w:val="1"/>
        </w:numPr>
        <w:kinsoku/>
        <w:overflowPunct/>
        <w:topLinePunct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招标人及招标代理机构</w:t>
      </w:r>
    </w:p>
    <w:p>
      <w:pPr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人：济南高新技术产业开发区管理委员会城市管理局 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地  址：济南高新区舜华路77号高新区管委会B座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联系人：雷剑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  联系电话：15562479780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代理机构：山东蓝盾招标代理有限公司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 xml:space="preserve"> 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地  址：济南市高新区工业南路59号中铁财智中心6号楼15楼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>联系人：滕在霞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 联系方式：18596098698</w:t>
      </w:r>
    </w:p>
    <w:p>
      <w:pPr>
        <w:pageBreakBefore w:val="0"/>
        <w:widowControl/>
        <w:numPr>
          <w:ilvl w:val="0"/>
          <w:numId w:val="2"/>
        </w:numPr>
        <w:kinsoku/>
        <w:overflowPunct/>
        <w:topLinePunct w:val="0"/>
        <w:bidi w:val="0"/>
        <w:adjustRightInd w:val="0"/>
        <w:snapToGrid w:val="0"/>
        <w:spacing w:line="360" w:lineRule="auto"/>
        <w:ind w:left="1104" w:leftChars="0" w:hanging="1104" w:hangingChars="4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项目名称：济南高新技术产业开发区管理委员会城市管理局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渣土覆盖项目</w:t>
      </w:r>
    </w:p>
    <w:p>
      <w:pPr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项目编号：SDLD2019GK034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项目情况：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 xml:space="preserve">                   </w:t>
      </w:r>
    </w:p>
    <w:tbl>
      <w:tblPr>
        <w:tblStyle w:val="6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683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项目名称</w:t>
            </w:r>
          </w:p>
        </w:tc>
        <w:tc>
          <w:tcPr>
            <w:tcW w:w="683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投标人资格要求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预算金额</w:t>
            </w:r>
          </w:p>
          <w:p>
            <w:pPr>
              <w:bidi w:val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济南高新技术产业开发区管理委员会城市管理局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渣土覆盖项目</w:t>
            </w:r>
          </w:p>
        </w:tc>
        <w:tc>
          <w:tcPr>
            <w:tcW w:w="6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（1）应符合《中华人民共和国政府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highlight w:val="none"/>
              </w:rPr>
              <w:t>法》第二十二条的要求；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（2）在中国境内注册，具有独立法人资格并具有独立承担民事责任的能力；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（3）须具备有效的营业执照，并在人员、设备、资金方面有相应的服务能力；</w:t>
            </w: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（4）参与本项目期间，各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highlight w:val="none"/>
              </w:rPr>
              <w:t>需通过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highlight w:val="none"/>
              </w:rPr>
              <w:t>信用中国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highlight w:val="none"/>
              </w:rPr>
              <w:t>（http://www.creditchina.gov.cn/）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highlight w:val="none"/>
              </w:rPr>
              <w:t>中国政府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highlight w:val="none"/>
              </w:rPr>
              <w:t>网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highlight w:val="none"/>
              </w:rPr>
              <w:t>（http://www.ccgp.gov.cn/）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highlight w:val="none"/>
              </w:rPr>
              <w:t>“信用山东”（http://www.creditsd.gov.cn）查询信用记录，并打印网站查询结果的截图。对列入失信被执行人、重大税收违法案件当事人名单、政府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highlight w:val="none"/>
              </w:rPr>
              <w:t>严重违法失信行为记录名单的单位拒绝其参与政府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highlight w:val="none"/>
              </w:rPr>
              <w:t>活动（截图报名时须携带报名当日的信用截图）；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（5）本项目不接受联合体报价，不得以任何方式转包或分包给其他供应商（如弄虚作假等），一经查实，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highlight w:val="none"/>
              </w:rPr>
              <w:t>人有权终止合同，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中标</w:t>
            </w:r>
            <w:r>
              <w:rPr>
                <w:rFonts w:hint="eastAsia" w:ascii="宋体" w:hAnsi="宋体" w:eastAsia="宋体" w:cs="宋体"/>
                <w:highlight w:val="none"/>
              </w:rPr>
              <w:t>供应商须赔偿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highlight w:val="none"/>
              </w:rPr>
              <w:t>人的经济损失并承担违约责任。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）参加政府采购活动前3年内在经营活动中没有重大违法记录；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4.5元/㎡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三、获取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文件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500" w:lineRule="exact"/>
        <w:ind w:left="-65" w:leftChars="-27" w:firstLine="544" w:firstLineChars="227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1.时间：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zh-CN"/>
        </w:rPr>
        <w:t>201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分至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>201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9年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分（北京时间，法定节假日除外）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2.地点：济南市高新区工业南路59号中铁财智中心6号楼15楼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财务室</w:t>
      </w:r>
    </w:p>
    <w:p>
      <w:pPr>
        <w:pStyle w:val="3"/>
        <w:pageBreakBefore w:val="0"/>
        <w:tabs>
          <w:tab w:val="left" w:pos="0"/>
        </w:tabs>
        <w:kinsoku/>
        <w:overflowPunct/>
        <w:topLinePunct w:val="0"/>
        <w:bidi w:val="0"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3.方式：</w:t>
      </w:r>
    </w:p>
    <w:p>
      <w:pPr>
        <w:pStyle w:val="3"/>
        <w:pageBreakBefore w:val="0"/>
        <w:tabs>
          <w:tab w:val="left" w:pos="0"/>
        </w:tabs>
        <w:kinsoku/>
        <w:overflowPunct/>
        <w:topLinePunct w:val="0"/>
        <w:bidi w:val="0"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购买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eastAsia="zh-CN"/>
        </w:rPr>
        <w:t>招标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文件时请携带(1)营业执照副本；（2）法定代表人授权委托书及被授权人身份证；（3）信用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eastAsia="zh-CN"/>
        </w:rPr>
        <w:t>网站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截图</w:t>
      </w:r>
      <w:r>
        <w:rPr>
          <w:rFonts w:hint="eastAsia" w:cs="宋体"/>
          <w:kern w:val="0"/>
          <w:sz w:val="24"/>
          <w:szCs w:val="24"/>
          <w:highlight w:val="none"/>
          <w:u w:val="none"/>
          <w:lang w:eastAsia="zh-CN"/>
        </w:rPr>
        <w:t>；（</w:t>
      </w:r>
      <w:r>
        <w:rPr>
          <w:rFonts w:hint="eastAsia" w:cs="宋体"/>
          <w:kern w:val="0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cs="宋体"/>
          <w:kern w:val="0"/>
          <w:sz w:val="24"/>
          <w:szCs w:val="24"/>
          <w:highlight w:val="none"/>
          <w:u w:val="none"/>
          <w:lang w:eastAsia="zh-CN"/>
        </w:rPr>
        <w:t>）无重大违法记录声明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以上资料须提供加盖公章的复印件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一套及被授权人身份证原件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，报名时的资料查验不代表资格审查的最终通过或合格。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4.售价：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00元/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eastAsia="zh-CN"/>
        </w:rPr>
        <w:t>本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eastAsia="zh-CN"/>
        </w:rPr>
        <w:t>现金支付，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售出不退。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四、公告期限：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zh-CN"/>
        </w:rPr>
        <w:t>201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 至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zh-CN"/>
        </w:rPr>
        <w:t>201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五、递交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文件时间及地点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>时间：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zh-CN"/>
        </w:rPr>
        <w:t>201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分至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zh-CN"/>
        </w:rPr>
        <w:t>201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分（北京时间）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500" w:lineRule="exact"/>
        <w:ind w:left="547" w:leftChars="228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2.地点：济南市高新区工业南路59号中铁财智中心6号楼15层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六、开标时间及地点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500" w:lineRule="exact"/>
        <w:ind w:left="547" w:leftChars="228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1.时间：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zh-CN"/>
        </w:rPr>
        <w:t>201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分（北京时间）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500" w:lineRule="exact"/>
        <w:ind w:left="547" w:leftChars="228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2.地点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>：济南市高新区工业南路59号中铁财智中心6号楼15层会议室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七、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项目联系方式</w:t>
      </w:r>
    </w:p>
    <w:p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val="en-US" w:eastAsia="zh-CN"/>
        </w:rPr>
        <w:t xml:space="preserve">滕在霞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 xml:space="preserve"> 联系方式：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val="en-US" w:eastAsia="zh-CN"/>
        </w:rPr>
        <w:t>18596098698</w:t>
      </w:r>
    </w:p>
    <w:p>
      <w:pPr>
        <w:pageBreakBefore w:val="0"/>
        <w:widowControl/>
        <w:kinsoku/>
        <w:overflowPunct/>
        <w:topLinePunct w:val="0"/>
        <w:bidi w:val="0"/>
        <w:spacing w:line="5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八、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项目的用途、数量、简要技术要求等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zh-CN"/>
        </w:rPr>
        <w:t>详见招标文件</w:t>
      </w:r>
    </w:p>
    <w:p>
      <w:pPr>
        <w:pStyle w:val="5"/>
        <w:adjustRightInd w:val="0"/>
        <w:snapToGrid w:val="0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</w:p>
    <w:p>
      <w:pPr>
        <w:pStyle w:val="5"/>
        <w:adjustRightInd w:val="0"/>
        <w:snapToGrid w:val="0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</w:p>
    <w:p>
      <w:pPr>
        <w:pStyle w:val="5"/>
        <w:adjustRightInd w:val="0"/>
        <w:snapToGrid w:val="0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</w:p>
    <w:p>
      <w:pPr>
        <w:pStyle w:val="5"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发布人：山东蓝盾招标代理有限公司</w:t>
      </w:r>
    </w:p>
    <w:p>
      <w:pPr>
        <w:pStyle w:val="5"/>
        <w:adjustRightInd w:val="0"/>
        <w:snapToGrid w:val="0"/>
        <w:spacing w:line="360" w:lineRule="auto"/>
        <w:ind w:right="48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发布时间：2019年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D443"/>
    <w:multiLevelType w:val="singleLevel"/>
    <w:tmpl w:val="047AD4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AD9B35"/>
    <w:multiLevelType w:val="singleLevel"/>
    <w:tmpl w:val="6AAD9B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02EF6"/>
    <w:rsid w:val="5E60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widowControl/>
      <w:spacing w:line="360" w:lineRule="auto"/>
      <w:ind w:right="-106" w:rightChars="-56"/>
      <w:jc w:val="center"/>
      <w:outlineLvl w:val="0"/>
    </w:pPr>
    <w:rPr>
      <w:rFonts w:ascii="宋体" w:hAnsi="宋体"/>
      <w:b/>
      <w:kern w:val="0"/>
      <w:sz w:val="32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napToGrid/>
      <w:spacing w:after="120" w:line="240" w:lineRule="auto"/>
      <w:ind w:left="420" w:leftChars="200" w:right="0" w:firstLine="420" w:firstLineChars="200"/>
    </w:pPr>
  </w:style>
  <w:style w:type="paragraph" w:styleId="3">
    <w:name w:val="Body Text Indent"/>
    <w:basedOn w:val="1"/>
    <w:uiPriority w:val="0"/>
    <w:pPr>
      <w:ind w:firstLine="560" w:firstLineChars="200"/>
    </w:pPr>
    <w:rPr>
      <w:rFonts w:ascii="宋体" w:hAnsi="宋体"/>
      <w:sz w:val="28"/>
      <w:u w:val="single"/>
    </w:rPr>
  </w:style>
  <w:style w:type="paragraph" w:styleId="5">
    <w:name w:val="Body Text"/>
    <w:basedOn w:val="1"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2019-10-30T08:43:00Z</dcterms:created>
  <dc:creator>Administrator</dc:creator>
  <cp:lastModifiedBy>Administrator</cp:lastModifiedBy>
  <dcterms:modified xsi:type="dcterms:W3CDTF">2019-10-30T08:50:18Z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