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宋体" w:hAnsi="宋体" w:eastAsia="宋体" w:cs="宋体"/>
          <w:b/>
          <w:bCs/>
          <w:color w:val="auto"/>
          <w:sz w:val="44"/>
          <w:szCs w:val="44"/>
          <w:lang w:eastAsia="zh-CN"/>
        </w:rPr>
      </w:pPr>
    </w:p>
    <w:p>
      <w:pPr>
        <w:pStyle w:val="10"/>
        <w:jc w:val="center"/>
        <w:rPr>
          <w:rFonts w:hint="eastAsia" w:ascii="宋体" w:hAnsi="宋体" w:eastAsia="宋体" w:cs="宋体"/>
          <w:b/>
          <w:bCs/>
          <w:color w:val="auto"/>
          <w:sz w:val="52"/>
          <w:szCs w:val="52"/>
          <w:lang w:eastAsia="zh-CN"/>
        </w:rPr>
      </w:pPr>
      <w:r>
        <w:rPr>
          <w:rFonts w:hint="eastAsia" w:ascii="宋体" w:hAnsi="宋体" w:cs="宋体"/>
          <w:b/>
          <w:bCs/>
          <w:color w:val="auto"/>
          <w:sz w:val="52"/>
          <w:szCs w:val="52"/>
          <w:lang w:eastAsia="zh-CN"/>
        </w:rPr>
        <w:t>济南市历城区人民检察院新媒体运维拍摄服务项目</w:t>
      </w:r>
    </w:p>
    <w:p>
      <w:pPr>
        <w:pStyle w:val="10"/>
        <w:jc w:val="center"/>
        <w:rPr>
          <w:rFonts w:hint="eastAsia" w:ascii="宋体" w:hAnsi="宋体" w:eastAsia="宋体" w:cs="宋体"/>
          <w:b/>
          <w:bCs/>
          <w:color w:val="auto"/>
          <w:sz w:val="52"/>
          <w:szCs w:val="52"/>
          <w:lang w:eastAsia="zh-CN"/>
        </w:rPr>
      </w:pPr>
    </w:p>
    <w:p>
      <w:pPr>
        <w:pStyle w:val="10"/>
        <w:jc w:val="center"/>
        <w:rPr>
          <w:rFonts w:hint="eastAsia" w:ascii="宋体" w:hAnsi="宋体" w:eastAsia="宋体" w:cs="宋体"/>
          <w:b/>
          <w:bCs/>
          <w:color w:val="auto"/>
          <w:sz w:val="84"/>
          <w:szCs w:val="84"/>
          <w:lang w:eastAsia="zh-CN"/>
        </w:rPr>
      </w:pPr>
      <w:r>
        <w:rPr>
          <w:rFonts w:hint="eastAsia" w:ascii="宋体" w:hAnsi="宋体" w:cs="宋体"/>
          <w:b/>
          <w:bCs/>
          <w:color w:val="auto"/>
          <w:sz w:val="52"/>
          <w:szCs w:val="52"/>
          <w:lang w:eastAsia="zh-CN"/>
        </w:rPr>
        <w:t>竞争性磋商文件</w:t>
      </w:r>
    </w:p>
    <w:p>
      <w:pPr>
        <w:pStyle w:val="10"/>
        <w:jc w:val="center"/>
        <w:rPr>
          <w:rFonts w:hint="eastAsia" w:ascii="宋体" w:hAnsi="宋体" w:eastAsia="宋体" w:cs="宋体"/>
          <w:color w:val="auto"/>
          <w:sz w:val="72"/>
          <w:szCs w:val="72"/>
          <w:lang w:eastAsia="zh-CN"/>
        </w:rPr>
      </w:pPr>
      <w:r>
        <w:rPr>
          <w:rFonts w:hint="eastAsia" w:ascii="宋体" w:hAnsi="宋体" w:eastAsia="宋体" w:cs="宋体"/>
          <w:color w:val="auto"/>
          <w:sz w:val="72"/>
          <w:szCs w:val="72"/>
          <w:lang w:eastAsia="zh-CN"/>
        </w:rPr>
        <w:drawing>
          <wp:inline distT="0" distB="0" distL="114300" distR="114300">
            <wp:extent cx="2334895" cy="2259330"/>
            <wp:effectExtent l="0" t="0" r="8255" b="7620"/>
            <wp:docPr id="2" name="图片 1" descr="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标识"/>
                    <pic:cNvPicPr>
                      <a:picLocks noChangeAspect="1"/>
                    </pic:cNvPicPr>
                  </pic:nvPicPr>
                  <pic:blipFill>
                    <a:blip r:embed="rId8"/>
                    <a:stretch>
                      <a:fillRect/>
                    </a:stretch>
                  </pic:blipFill>
                  <pic:spPr>
                    <a:xfrm>
                      <a:off x="0" y="0"/>
                      <a:ext cx="2334895" cy="2259330"/>
                    </a:xfrm>
                    <a:prstGeom prst="rect">
                      <a:avLst/>
                    </a:prstGeom>
                    <a:noFill/>
                    <a:ln w="9525">
                      <a:noFill/>
                    </a:ln>
                  </pic:spPr>
                </pic:pic>
              </a:graphicData>
            </a:graphic>
          </wp:inline>
        </w:drawing>
      </w:r>
    </w:p>
    <w:p>
      <w:pPr>
        <w:spacing w:line="800" w:lineRule="exact"/>
        <w:jc w:val="center"/>
        <w:rPr>
          <w:rFonts w:hint="eastAsia" w:ascii="宋体" w:hAnsi="宋体" w:eastAsia="宋体" w:cs="宋体"/>
          <w:b/>
          <w:bCs/>
          <w:color w:val="auto"/>
          <w:spacing w:val="-20"/>
          <w:sz w:val="32"/>
          <w:lang w:val="en-US" w:eastAsia="zh-CN"/>
        </w:rPr>
      </w:pPr>
      <w:r>
        <w:rPr>
          <w:rFonts w:hint="eastAsia" w:ascii="宋体" w:hAnsi="宋体" w:eastAsia="宋体" w:cs="宋体"/>
          <w:b/>
          <w:bCs/>
          <w:color w:val="auto"/>
          <w:spacing w:val="-20"/>
          <w:sz w:val="32"/>
        </w:rPr>
        <w:t>项目编号：</w:t>
      </w:r>
      <w:r>
        <w:rPr>
          <w:rFonts w:hint="eastAsia" w:ascii="宋体" w:hAnsi="宋体" w:cs="宋体"/>
          <w:b/>
          <w:bCs/>
          <w:color w:val="auto"/>
          <w:spacing w:val="-20"/>
          <w:sz w:val="32"/>
          <w:lang w:val="en-US" w:eastAsia="zh-CN"/>
        </w:rPr>
        <w:t>SDGP370112201902000804</w:t>
      </w:r>
    </w:p>
    <w:p>
      <w:pPr>
        <w:pStyle w:val="10"/>
        <w:tabs>
          <w:tab w:val="left" w:pos="3644"/>
        </w:tabs>
        <w:rPr>
          <w:rFonts w:hint="eastAsia" w:ascii="宋体" w:hAnsi="宋体" w:eastAsia="宋体" w:cs="宋体"/>
          <w:color w:val="auto"/>
          <w:sz w:val="84"/>
          <w:szCs w:val="84"/>
        </w:rPr>
      </w:pPr>
      <w:r>
        <w:rPr>
          <w:rFonts w:hint="eastAsia" w:ascii="宋体" w:hAnsi="宋体" w:eastAsia="宋体" w:cs="宋体"/>
          <w:color w:val="auto"/>
          <w:sz w:val="84"/>
          <w:szCs w:val="84"/>
        </w:rPr>
        <w:tab/>
      </w:r>
    </w:p>
    <w:p>
      <w:pPr>
        <w:spacing w:line="360" w:lineRule="auto"/>
        <w:rPr>
          <w:rFonts w:hint="eastAsia" w:ascii="宋体" w:hAnsi="宋体" w:eastAsia="宋体" w:cs="宋体"/>
          <w:b/>
          <w:color w:val="auto"/>
          <w:sz w:val="32"/>
          <w:szCs w:val="32"/>
        </w:rPr>
      </w:pPr>
      <w:r>
        <w:rPr>
          <w:rFonts w:hint="eastAsia" w:ascii="宋体" w:hAnsi="宋体" w:eastAsia="宋体" w:cs="宋体"/>
          <w:b/>
          <w:color w:val="auto"/>
          <w:spacing w:val="-10"/>
          <w:sz w:val="36"/>
          <w:szCs w:val="36"/>
        </w:rPr>
        <w:t xml:space="preserve">            </w:t>
      </w:r>
      <w:r>
        <w:rPr>
          <w:rFonts w:hint="eastAsia" w:ascii="宋体" w:hAnsi="宋体" w:eastAsia="宋体" w:cs="宋体"/>
          <w:b/>
          <w:color w:val="auto"/>
          <w:spacing w:val="-10"/>
          <w:sz w:val="32"/>
          <w:szCs w:val="32"/>
        </w:rPr>
        <w:t>招  标</w:t>
      </w:r>
      <w:r>
        <w:rPr>
          <w:rFonts w:hint="eastAsia" w:ascii="宋体" w:hAnsi="宋体" w:eastAsia="宋体" w:cs="宋体"/>
          <w:b/>
          <w:color w:val="auto"/>
          <w:sz w:val="32"/>
          <w:szCs w:val="32"/>
        </w:rPr>
        <w:t xml:space="preserve"> 人：</w:t>
      </w:r>
      <w:r>
        <w:rPr>
          <w:rFonts w:hint="eastAsia" w:ascii="宋体" w:hAnsi="宋体" w:cs="宋体"/>
          <w:b/>
          <w:color w:val="auto"/>
          <w:spacing w:val="-10"/>
          <w:sz w:val="32"/>
          <w:szCs w:val="32"/>
          <w:lang w:eastAsia="zh-CN"/>
        </w:rPr>
        <w:t>济南市历城区人民检察院</w:t>
      </w:r>
    </w:p>
    <w:p>
      <w:pPr>
        <w:spacing w:line="360" w:lineRule="auto"/>
        <w:ind w:firstLine="1928" w:firstLineChars="600"/>
        <w:jc w:val="both"/>
        <w:rPr>
          <w:rFonts w:hint="eastAsia" w:ascii="宋体" w:hAnsi="宋体" w:eastAsia="宋体" w:cs="宋体"/>
          <w:b/>
          <w:color w:val="auto"/>
          <w:sz w:val="32"/>
          <w:szCs w:val="32"/>
        </w:rPr>
      </w:pPr>
      <w:r>
        <w:rPr>
          <w:rFonts w:hint="eastAsia" w:ascii="宋体" w:hAnsi="宋体" w:eastAsia="宋体" w:cs="宋体"/>
          <w:b/>
          <w:color w:val="auto"/>
          <w:sz w:val="32"/>
          <w:szCs w:val="32"/>
        </w:rPr>
        <w:t>代理机构：山东蓝盾</w:t>
      </w:r>
      <w:r>
        <w:rPr>
          <w:rFonts w:hint="eastAsia" w:ascii="宋体" w:hAnsi="宋体" w:cs="宋体"/>
          <w:b/>
          <w:color w:val="auto"/>
          <w:sz w:val="32"/>
          <w:szCs w:val="32"/>
          <w:lang w:eastAsia="zh-CN"/>
        </w:rPr>
        <w:t>招标</w:t>
      </w:r>
      <w:r>
        <w:rPr>
          <w:rFonts w:hint="eastAsia" w:ascii="宋体" w:hAnsi="宋体" w:eastAsia="宋体" w:cs="宋体"/>
          <w:b/>
          <w:color w:val="auto"/>
          <w:sz w:val="32"/>
          <w:szCs w:val="32"/>
        </w:rPr>
        <w:t>代理有限公司</w:t>
      </w:r>
    </w:p>
    <w:p>
      <w:pPr>
        <w:tabs>
          <w:tab w:val="left" w:pos="8080"/>
        </w:tabs>
        <w:adjustRightInd w:val="0"/>
        <w:snapToGrid w:val="0"/>
        <w:spacing w:after="240" w:line="440" w:lineRule="exact"/>
        <w:jc w:val="center"/>
        <w:rPr>
          <w:rFonts w:hint="eastAsia" w:ascii="宋体" w:hAnsi="宋体" w:eastAsia="宋体" w:cs="宋体"/>
          <w:b/>
          <w:color w:val="auto"/>
          <w:sz w:val="36"/>
        </w:rPr>
        <w:sectPr>
          <w:headerReference r:id="rId4" w:type="first"/>
          <w:headerReference r:id="rId3" w:type="default"/>
          <w:pgSz w:w="11906" w:h="16838"/>
          <w:pgMar w:top="1531" w:right="1134" w:bottom="1531" w:left="1134" w:header="851" w:footer="992" w:gutter="0"/>
          <w:cols w:space="720" w:num="1"/>
          <w:rtlGutter w:val="0"/>
          <w:docGrid w:type="lines" w:linePitch="312" w:charSpace="0"/>
        </w:sectPr>
      </w:pPr>
      <w:r>
        <w:rPr>
          <w:rFonts w:hint="eastAsia" w:ascii="宋体" w:hAnsi="宋体" w:eastAsia="宋体" w:cs="宋体"/>
          <w:b/>
          <w:bCs/>
          <w:color w:val="auto"/>
          <w:sz w:val="32"/>
          <w:szCs w:val="32"/>
        </w:rPr>
        <w:t>二零一</w:t>
      </w:r>
      <w:r>
        <w:rPr>
          <w:rFonts w:hint="eastAsia" w:ascii="宋体" w:hAnsi="宋体" w:cs="宋体"/>
          <w:b/>
          <w:bCs/>
          <w:color w:val="auto"/>
          <w:sz w:val="32"/>
          <w:szCs w:val="32"/>
          <w:lang w:eastAsia="zh-CN"/>
        </w:rPr>
        <w:t>九</w:t>
      </w:r>
      <w:r>
        <w:rPr>
          <w:rFonts w:hint="eastAsia" w:ascii="宋体" w:hAnsi="宋体" w:eastAsia="宋体" w:cs="宋体"/>
          <w:b/>
          <w:bCs/>
          <w:color w:val="auto"/>
          <w:sz w:val="32"/>
          <w:szCs w:val="32"/>
        </w:rPr>
        <w:t>年</w:t>
      </w:r>
      <w:r>
        <w:rPr>
          <w:rFonts w:hint="eastAsia" w:ascii="宋体" w:hAnsi="宋体" w:cs="宋体"/>
          <w:b/>
          <w:bCs/>
          <w:color w:val="auto"/>
          <w:sz w:val="32"/>
          <w:szCs w:val="32"/>
          <w:lang w:eastAsia="zh-CN"/>
        </w:rPr>
        <w:t>十一月</w:t>
      </w:r>
    </w:p>
    <w:p>
      <w:pPr>
        <w:pStyle w:val="21"/>
        <w:ind w:left="0" w:leftChars="0" w:firstLine="0" w:firstLineChars="0"/>
        <w:rPr>
          <w:rFonts w:hint="eastAsia"/>
          <w:color w:val="auto"/>
        </w:rPr>
      </w:pPr>
    </w:p>
    <w:p>
      <w:pPr>
        <w:pStyle w:val="18"/>
        <w:tabs>
          <w:tab w:val="right" w:leader="dot" w:pos="9298"/>
        </w:tabs>
        <w:adjustRightInd w:val="0"/>
        <w:snapToGrid w:val="0"/>
        <w:spacing w:line="480" w:lineRule="auto"/>
        <w:jc w:val="center"/>
        <w:rPr>
          <w:rFonts w:hint="eastAsia" w:ascii="宋体" w:hAnsi="宋体" w:eastAsia="宋体" w:cs="宋体"/>
          <w:caps/>
          <w:color w:val="auto"/>
          <w:kern w:val="2"/>
          <w:sz w:val="24"/>
          <w:szCs w:val="24"/>
          <w:lang w:val="en-US" w:eastAsia="zh-CN" w:bidi="ar-SA"/>
        </w:rPr>
      </w:pPr>
      <w:r>
        <w:rPr>
          <w:rFonts w:hint="eastAsia" w:ascii="宋体" w:hAnsi="宋体" w:eastAsia="宋体" w:cs="宋体"/>
          <w:b/>
          <w:color w:val="auto"/>
          <w:sz w:val="32"/>
          <w:szCs w:val="32"/>
        </w:rPr>
        <w:t>目 录</w:t>
      </w:r>
      <w:bookmarkStart w:id="0" w:name="_Toc529693006"/>
      <w:bookmarkStart w:id="1" w:name="_Toc529699409"/>
      <w:r>
        <w:rPr>
          <w:rFonts w:hint="eastAsia" w:ascii="宋体" w:hAnsi="宋体" w:eastAsia="宋体" w:cs="宋体"/>
          <w:caps/>
          <w:color w:val="auto"/>
          <w:sz w:val="24"/>
        </w:rPr>
        <w:fldChar w:fldCharType="begin"/>
      </w:r>
      <w:r>
        <w:rPr>
          <w:rFonts w:hint="eastAsia" w:ascii="宋体" w:hAnsi="宋体" w:eastAsia="宋体" w:cs="宋体"/>
          <w:caps/>
          <w:color w:val="auto"/>
          <w:sz w:val="24"/>
        </w:rPr>
        <w:instrText xml:space="preserve">TOC \o "1-3" \h \u </w:instrText>
      </w:r>
      <w:r>
        <w:rPr>
          <w:rFonts w:hint="eastAsia" w:ascii="宋体" w:hAnsi="宋体" w:eastAsia="宋体" w:cs="宋体"/>
          <w:caps/>
          <w:color w:val="auto"/>
          <w:sz w:val="24"/>
        </w:rPr>
        <w:fldChar w:fldCharType="separate"/>
      </w:r>
    </w:p>
    <w:p>
      <w:pPr>
        <w:pStyle w:val="18"/>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_Toc8679 </w:instrText>
      </w:r>
      <w:r>
        <w:rPr>
          <w:rFonts w:hint="eastAsia" w:ascii="宋体" w:hAnsi="宋体" w:eastAsia="宋体" w:cs="宋体"/>
          <w:caps/>
          <w:color w:val="auto"/>
        </w:rPr>
        <w:fldChar w:fldCharType="separate"/>
      </w:r>
      <w:r>
        <w:rPr>
          <w:rFonts w:hint="eastAsia"/>
          <w:color w:val="auto"/>
          <w:szCs w:val="32"/>
          <w:lang w:eastAsia="zh-CN"/>
        </w:rPr>
        <w:t>第一部分</w:t>
      </w:r>
      <w:r>
        <w:rPr>
          <w:rFonts w:hint="eastAsia"/>
          <w:color w:val="auto"/>
          <w:szCs w:val="32"/>
          <w:lang w:val="en-US" w:eastAsia="zh-CN"/>
        </w:rPr>
        <w:t xml:space="preserve">  </w:t>
      </w:r>
      <w:r>
        <w:rPr>
          <w:rFonts w:hint="eastAsia"/>
          <w:color w:val="auto"/>
          <w:szCs w:val="32"/>
          <w:lang w:eastAsia="zh-CN"/>
        </w:rPr>
        <w:t>招标公告</w:t>
      </w:r>
      <w:r>
        <w:rPr>
          <w:color w:val="auto"/>
        </w:rPr>
        <w:tab/>
      </w:r>
      <w:r>
        <w:rPr>
          <w:color w:val="auto"/>
        </w:rPr>
        <w:fldChar w:fldCharType="begin"/>
      </w:r>
      <w:r>
        <w:rPr>
          <w:color w:val="auto"/>
        </w:rPr>
        <w:instrText xml:space="preserve"> PAGEREF _Toc8679 </w:instrText>
      </w:r>
      <w:r>
        <w:rPr>
          <w:color w:val="auto"/>
        </w:rPr>
        <w:fldChar w:fldCharType="separate"/>
      </w:r>
      <w:r>
        <w:rPr>
          <w:color w:val="auto"/>
        </w:rPr>
        <w:t>3</w:t>
      </w:r>
      <w:r>
        <w:rPr>
          <w:color w:val="auto"/>
        </w:rPr>
        <w:fldChar w:fldCharType="end"/>
      </w:r>
      <w:r>
        <w:rPr>
          <w:rFonts w:hint="eastAsia" w:ascii="宋体" w:hAnsi="宋体" w:eastAsia="宋体" w:cs="宋体"/>
          <w:caps/>
          <w:color w:val="auto"/>
        </w:rPr>
        <w:fldChar w:fldCharType="end"/>
      </w:r>
    </w:p>
    <w:p>
      <w:pPr>
        <w:pStyle w:val="18"/>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_Toc21571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第二部分  投标人须知</w:t>
      </w:r>
      <w:r>
        <w:rPr>
          <w:color w:val="auto"/>
        </w:rPr>
        <w:tab/>
      </w:r>
      <w:r>
        <w:rPr>
          <w:color w:val="auto"/>
        </w:rPr>
        <w:fldChar w:fldCharType="begin"/>
      </w:r>
      <w:r>
        <w:rPr>
          <w:color w:val="auto"/>
        </w:rPr>
        <w:instrText xml:space="preserve"> PAGEREF _Toc21571 </w:instrText>
      </w:r>
      <w:r>
        <w:rPr>
          <w:color w:val="auto"/>
        </w:rPr>
        <w:fldChar w:fldCharType="separate"/>
      </w:r>
      <w:r>
        <w:rPr>
          <w:color w:val="auto"/>
        </w:rPr>
        <w:t>5</w:t>
      </w:r>
      <w:r>
        <w:rPr>
          <w:color w:val="auto"/>
        </w:rPr>
        <w:fldChar w:fldCharType="end"/>
      </w:r>
      <w:r>
        <w:rPr>
          <w:rFonts w:hint="eastAsia" w:ascii="宋体" w:hAnsi="宋体" w:eastAsia="宋体" w:cs="宋体"/>
          <w:caps/>
          <w:color w:val="auto"/>
        </w:rPr>
        <w:fldChar w:fldCharType="end"/>
      </w:r>
    </w:p>
    <w:p>
      <w:pPr>
        <w:pStyle w:val="18"/>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_Toc3445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lang w:eastAsia="zh-CN"/>
        </w:rPr>
        <w:t>第三部分</w:t>
      </w:r>
      <w:r>
        <w:rPr>
          <w:rFonts w:hint="eastAsia" w:asciiTheme="majorEastAsia" w:hAnsiTheme="majorEastAsia" w:eastAsiaTheme="majorEastAsia" w:cstheme="majorEastAsia"/>
          <w:bCs/>
          <w:color w:val="auto"/>
          <w:szCs w:val="32"/>
        </w:rPr>
        <w:t xml:space="preserve"> </w:t>
      </w:r>
      <w:r>
        <w:rPr>
          <w:rFonts w:hint="eastAsia" w:asciiTheme="majorEastAsia" w:hAnsiTheme="majorEastAsia" w:eastAsiaTheme="majorEastAsia" w:cstheme="majorEastAsia"/>
          <w:bCs/>
          <w:color w:val="auto"/>
          <w:szCs w:val="32"/>
          <w:lang w:val="en-US" w:eastAsia="zh-CN"/>
        </w:rPr>
        <w:t xml:space="preserve"> </w:t>
      </w:r>
      <w:r>
        <w:rPr>
          <w:rFonts w:hint="eastAsia" w:asciiTheme="majorEastAsia" w:hAnsiTheme="majorEastAsia" w:eastAsiaTheme="majorEastAsia" w:cstheme="majorEastAsia"/>
          <w:bCs/>
          <w:color w:val="auto"/>
          <w:szCs w:val="32"/>
        </w:rPr>
        <w:t>项目概况及技术参数</w:t>
      </w:r>
      <w:r>
        <w:rPr>
          <w:color w:val="auto"/>
        </w:rPr>
        <w:tab/>
      </w:r>
      <w:r>
        <w:rPr>
          <w:color w:val="auto"/>
        </w:rPr>
        <w:fldChar w:fldCharType="begin"/>
      </w:r>
      <w:r>
        <w:rPr>
          <w:color w:val="auto"/>
        </w:rPr>
        <w:instrText xml:space="preserve"> PAGEREF _Toc3445 </w:instrText>
      </w:r>
      <w:r>
        <w:rPr>
          <w:color w:val="auto"/>
        </w:rPr>
        <w:fldChar w:fldCharType="separate"/>
      </w:r>
      <w:r>
        <w:rPr>
          <w:color w:val="auto"/>
        </w:rPr>
        <w:t>18</w:t>
      </w:r>
      <w:r>
        <w:rPr>
          <w:color w:val="auto"/>
        </w:rPr>
        <w:fldChar w:fldCharType="end"/>
      </w:r>
      <w:r>
        <w:rPr>
          <w:rFonts w:hint="eastAsia" w:ascii="宋体" w:hAnsi="宋体" w:eastAsia="宋体" w:cs="宋体"/>
          <w:caps/>
          <w:color w:val="auto"/>
        </w:rPr>
        <w:fldChar w:fldCharType="end"/>
      </w:r>
    </w:p>
    <w:p>
      <w:pPr>
        <w:pStyle w:val="18"/>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_Toc30400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 xml:space="preserve">第四部分 </w:t>
      </w:r>
      <w:r>
        <w:rPr>
          <w:rFonts w:hint="eastAsia" w:asciiTheme="majorEastAsia" w:hAnsiTheme="majorEastAsia" w:eastAsiaTheme="majorEastAsia" w:cstheme="majorEastAsia"/>
          <w:bCs/>
          <w:color w:val="auto"/>
          <w:szCs w:val="32"/>
          <w:lang w:val="en-US" w:eastAsia="zh-CN"/>
        </w:rPr>
        <w:t xml:space="preserve"> </w:t>
      </w:r>
      <w:r>
        <w:rPr>
          <w:rFonts w:hint="eastAsia" w:asciiTheme="majorEastAsia" w:hAnsiTheme="majorEastAsia" w:eastAsiaTheme="majorEastAsia" w:cstheme="majorEastAsia"/>
          <w:bCs/>
          <w:color w:val="auto"/>
          <w:szCs w:val="32"/>
        </w:rPr>
        <w:t>开标、评标、定标</w:t>
      </w:r>
      <w:r>
        <w:rPr>
          <w:color w:val="auto"/>
        </w:rPr>
        <w:tab/>
      </w:r>
      <w:r>
        <w:rPr>
          <w:color w:val="auto"/>
        </w:rPr>
        <w:fldChar w:fldCharType="begin"/>
      </w:r>
      <w:r>
        <w:rPr>
          <w:color w:val="auto"/>
        </w:rPr>
        <w:instrText xml:space="preserve"> PAGEREF _Toc30400 </w:instrText>
      </w:r>
      <w:r>
        <w:rPr>
          <w:color w:val="auto"/>
        </w:rPr>
        <w:fldChar w:fldCharType="separate"/>
      </w:r>
      <w:r>
        <w:rPr>
          <w:color w:val="auto"/>
        </w:rPr>
        <w:t>21</w:t>
      </w:r>
      <w:r>
        <w:rPr>
          <w:color w:val="auto"/>
        </w:rPr>
        <w:fldChar w:fldCharType="end"/>
      </w:r>
      <w:r>
        <w:rPr>
          <w:rFonts w:hint="eastAsia" w:ascii="宋体" w:hAnsi="宋体" w:eastAsia="宋体" w:cs="宋体"/>
          <w:caps/>
          <w:color w:val="auto"/>
        </w:rPr>
        <w:fldChar w:fldCharType="end"/>
      </w:r>
    </w:p>
    <w:p>
      <w:pPr>
        <w:pStyle w:val="18"/>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_Toc11058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color w:val="auto"/>
          <w:szCs w:val="32"/>
        </w:rPr>
        <w:t>第五部分  合同格式</w:t>
      </w:r>
      <w:r>
        <w:rPr>
          <w:color w:val="auto"/>
        </w:rPr>
        <w:tab/>
      </w:r>
      <w:r>
        <w:rPr>
          <w:color w:val="auto"/>
        </w:rPr>
        <w:fldChar w:fldCharType="begin"/>
      </w:r>
      <w:r>
        <w:rPr>
          <w:color w:val="auto"/>
        </w:rPr>
        <w:instrText xml:space="preserve"> PAGEREF _Toc11058 </w:instrText>
      </w:r>
      <w:r>
        <w:rPr>
          <w:color w:val="auto"/>
        </w:rPr>
        <w:fldChar w:fldCharType="separate"/>
      </w:r>
      <w:r>
        <w:rPr>
          <w:color w:val="auto"/>
        </w:rPr>
        <w:t>26</w:t>
      </w:r>
      <w:r>
        <w:rPr>
          <w:color w:val="auto"/>
        </w:rPr>
        <w:fldChar w:fldCharType="end"/>
      </w:r>
      <w:r>
        <w:rPr>
          <w:rFonts w:hint="eastAsia" w:ascii="宋体" w:hAnsi="宋体" w:eastAsia="宋体" w:cs="宋体"/>
          <w:caps/>
          <w:color w:val="auto"/>
        </w:rPr>
        <w:fldChar w:fldCharType="end"/>
      </w:r>
    </w:p>
    <w:p>
      <w:pPr>
        <w:pStyle w:val="18"/>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_Toc28690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第六部分  投标书格式</w:t>
      </w:r>
      <w:r>
        <w:rPr>
          <w:color w:val="auto"/>
        </w:rPr>
        <w:tab/>
      </w:r>
      <w:r>
        <w:rPr>
          <w:color w:val="auto"/>
        </w:rPr>
        <w:fldChar w:fldCharType="begin"/>
      </w:r>
      <w:r>
        <w:rPr>
          <w:color w:val="auto"/>
        </w:rPr>
        <w:instrText xml:space="preserve"> PAGEREF _Toc28690 </w:instrText>
      </w:r>
      <w:r>
        <w:rPr>
          <w:color w:val="auto"/>
        </w:rPr>
        <w:fldChar w:fldCharType="separate"/>
      </w:r>
      <w:r>
        <w:rPr>
          <w:color w:val="auto"/>
        </w:rPr>
        <w:t>29</w:t>
      </w:r>
      <w:r>
        <w:rPr>
          <w:color w:val="auto"/>
        </w:rPr>
        <w:fldChar w:fldCharType="end"/>
      </w:r>
      <w:r>
        <w:rPr>
          <w:rFonts w:hint="eastAsia" w:ascii="宋体" w:hAnsi="宋体" w:eastAsia="宋体" w:cs="宋体"/>
          <w:caps/>
          <w:color w:val="auto"/>
        </w:rPr>
        <w:fldChar w:fldCharType="end"/>
      </w:r>
    </w:p>
    <w:p>
      <w:pPr>
        <w:pStyle w:val="18"/>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_Toc8507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kern w:val="2"/>
          <w:szCs w:val="32"/>
        </w:rPr>
        <w:t>第七部分</w:t>
      </w:r>
      <w:r>
        <w:rPr>
          <w:rFonts w:hint="eastAsia" w:asciiTheme="majorEastAsia" w:hAnsiTheme="majorEastAsia" w:eastAsiaTheme="majorEastAsia" w:cstheme="majorEastAsia"/>
          <w:bCs/>
          <w:color w:val="auto"/>
          <w:kern w:val="2"/>
          <w:szCs w:val="32"/>
          <w:lang w:val="en-US" w:eastAsia="zh-CN"/>
        </w:rPr>
        <w:t xml:space="preserve"> </w:t>
      </w:r>
      <w:r>
        <w:rPr>
          <w:rFonts w:hint="eastAsia" w:asciiTheme="majorEastAsia" w:hAnsiTheme="majorEastAsia" w:eastAsiaTheme="majorEastAsia" w:cstheme="majorEastAsia"/>
          <w:bCs/>
          <w:color w:val="auto"/>
          <w:kern w:val="2"/>
          <w:szCs w:val="32"/>
        </w:rPr>
        <w:t xml:space="preserve"> </w:t>
      </w:r>
      <w:r>
        <w:rPr>
          <w:rFonts w:hint="eastAsia" w:asciiTheme="majorEastAsia" w:hAnsiTheme="majorEastAsia" w:eastAsiaTheme="majorEastAsia" w:cstheme="majorEastAsia"/>
          <w:bCs/>
          <w:color w:val="auto"/>
          <w:szCs w:val="32"/>
        </w:rPr>
        <w:t>评分细则</w:t>
      </w:r>
      <w:r>
        <w:rPr>
          <w:color w:val="auto"/>
        </w:rPr>
        <w:tab/>
      </w:r>
      <w:r>
        <w:rPr>
          <w:color w:val="auto"/>
        </w:rPr>
        <w:fldChar w:fldCharType="begin"/>
      </w:r>
      <w:r>
        <w:rPr>
          <w:color w:val="auto"/>
        </w:rPr>
        <w:instrText xml:space="preserve"> PAGEREF _Toc8507 </w:instrText>
      </w:r>
      <w:r>
        <w:rPr>
          <w:color w:val="auto"/>
        </w:rPr>
        <w:fldChar w:fldCharType="separate"/>
      </w:r>
      <w:r>
        <w:rPr>
          <w:color w:val="auto"/>
        </w:rPr>
        <w:t>47</w:t>
      </w:r>
      <w:r>
        <w:rPr>
          <w:color w:val="auto"/>
        </w:rPr>
        <w:fldChar w:fldCharType="end"/>
      </w:r>
      <w:r>
        <w:rPr>
          <w:rFonts w:hint="eastAsia" w:ascii="宋体" w:hAnsi="宋体" w:eastAsia="宋体" w:cs="宋体"/>
          <w:caps/>
          <w:color w:val="auto"/>
        </w:rPr>
        <w:fldChar w:fldCharType="end"/>
      </w:r>
    </w:p>
    <w:p>
      <w:pPr>
        <w:tabs>
          <w:tab w:val="right" w:leader="dot" w:pos="9298"/>
        </w:tabs>
        <w:adjustRightInd w:val="0"/>
        <w:snapToGrid w:val="0"/>
        <w:spacing w:line="480" w:lineRule="auto"/>
        <w:jc w:val="center"/>
        <w:rPr>
          <w:rFonts w:hint="eastAsia" w:ascii="宋体" w:hAnsi="宋体" w:eastAsia="宋体" w:cs="宋体"/>
          <w:b/>
          <w:bCs/>
          <w:color w:val="auto"/>
          <w:sz w:val="32"/>
          <w:szCs w:val="32"/>
        </w:rPr>
      </w:pPr>
      <w:r>
        <w:rPr>
          <w:rFonts w:hint="eastAsia" w:ascii="宋体" w:hAnsi="宋体" w:eastAsia="宋体" w:cs="宋体"/>
          <w:caps/>
          <w:color w:val="auto"/>
          <w:sz w:val="24"/>
        </w:rPr>
        <w:fldChar w:fldCharType="end"/>
      </w:r>
      <w:bookmarkStart w:id="2" w:name="_Toc27454"/>
      <w:bookmarkStart w:id="3" w:name="_Toc20305"/>
    </w:p>
    <w:p>
      <w:pPr>
        <w:spacing w:before="240" w:after="240" w:line="240" w:lineRule="auto"/>
        <w:jc w:val="both"/>
        <w:outlineLvl w:val="9"/>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widowControl/>
        <w:numPr>
          <w:ilvl w:val="0"/>
          <w:numId w:val="0"/>
        </w:numPr>
        <w:adjustRightInd w:val="0"/>
        <w:snapToGrid w:val="0"/>
        <w:spacing w:line="360" w:lineRule="auto"/>
        <w:jc w:val="left"/>
        <w:rPr>
          <w:rFonts w:hint="eastAsia" w:ascii="宋体" w:hAnsi="宋体" w:eastAsia="宋体" w:cs="宋体"/>
          <w:color w:val="auto"/>
          <w:kern w:val="0"/>
          <w:sz w:val="24"/>
          <w:szCs w:val="24"/>
          <w:lang w:eastAsia="zh-CN"/>
        </w:rPr>
      </w:pPr>
    </w:p>
    <w:p>
      <w:pPr>
        <w:pStyle w:val="21"/>
        <w:rPr>
          <w:rFonts w:hint="eastAsia"/>
          <w:color w:val="auto"/>
          <w:lang w:eastAsia="zh-CN"/>
        </w:rPr>
      </w:pPr>
    </w:p>
    <w:p>
      <w:pPr>
        <w:jc w:val="center"/>
        <w:outlineLvl w:val="0"/>
        <w:rPr>
          <w:rFonts w:hint="eastAsia" w:ascii="宋体" w:hAnsi="宋体" w:eastAsia="宋体" w:cs="宋体"/>
          <w:color w:val="auto"/>
          <w:kern w:val="0"/>
          <w:sz w:val="32"/>
          <w:szCs w:val="32"/>
          <w:lang w:eastAsia="zh-CN"/>
        </w:rPr>
      </w:pPr>
      <w:bookmarkStart w:id="4" w:name="_Toc8679"/>
      <w:r>
        <w:rPr>
          <w:rStyle w:val="38"/>
          <w:rFonts w:hint="eastAsia"/>
          <w:color w:val="auto"/>
          <w:sz w:val="32"/>
          <w:szCs w:val="32"/>
          <w:lang w:eastAsia="zh-CN"/>
        </w:rPr>
        <w:t>第一部分</w:t>
      </w:r>
      <w:bookmarkEnd w:id="0"/>
      <w:bookmarkEnd w:id="1"/>
      <w:bookmarkEnd w:id="2"/>
      <w:bookmarkEnd w:id="3"/>
      <w:bookmarkStart w:id="5" w:name="_Toc529699410"/>
      <w:bookmarkStart w:id="6" w:name="_Toc529693007"/>
      <w:bookmarkStart w:id="7" w:name="OLE_LINK1"/>
      <w:r>
        <w:rPr>
          <w:rStyle w:val="38"/>
          <w:rFonts w:hint="eastAsia"/>
          <w:color w:val="auto"/>
          <w:sz w:val="32"/>
          <w:szCs w:val="32"/>
          <w:lang w:eastAsia="zh-CN"/>
        </w:rPr>
        <w:t>招标公告</w:t>
      </w:r>
      <w:bookmarkEnd w:id="4"/>
    </w:p>
    <w:p>
      <w:pPr>
        <w:widowControl/>
        <w:numPr>
          <w:ilvl w:val="0"/>
          <w:numId w:val="0"/>
        </w:numPr>
        <w:adjustRightInd w:val="0"/>
        <w:snapToGrid w:val="0"/>
        <w:spacing w:line="360" w:lineRule="auto"/>
        <w:ind w:firstLine="1205" w:firstLineChars="500"/>
        <w:jc w:val="left"/>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济南市历城区人民检察院新媒体运维拍摄服务项目招标公告</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b/>
          <w:bCs/>
          <w:color w:val="auto"/>
          <w:kern w:val="0"/>
          <w:sz w:val="24"/>
          <w:szCs w:val="24"/>
          <w:lang w:eastAsia="zh-CN"/>
        </w:rPr>
        <w:t>一、</w:t>
      </w:r>
      <w:r>
        <w:rPr>
          <w:rFonts w:hint="eastAsia" w:asciiTheme="minorEastAsia" w:hAnsiTheme="minorEastAsia" w:eastAsiaTheme="minorEastAsia" w:cstheme="minorEastAsia"/>
          <w:color w:val="auto"/>
          <w:kern w:val="0"/>
          <w:sz w:val="24"/>
          <w:szCs w:val="24"/>
        </w:rPr>
        <w:t>采购人：济南市历城区人民检察院</w:t>
      </w:r>
    </w:p>
    <w:p>
      <w:pPr>
        <w:widowControl/>
        <w:numPr>
          <w:ilvl w:val="0"/>
          <w:numId w:val="0"/>
        </w:numPr>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地    址：济南市历城区祝甸路9号 </w:t>
      </w:r>
      <w:r>
        <w:rPr>
          <w:rFonts w:hint="eastAsia" w:asciiTheme="minorEastAsia" w:hAnsiTheme="minorEastAsia" w:eastAsiaTheme="minorEastAsia" w:cstheme="minorEastAsia"/>
          <w:color w:val="auto"/>
          <w:kern w:val="0"/>
          <w:sz w:val="24"/>
          <w:szCs w:val="24"/>
          <w:lang w:val="zh-CN"/>
        </w:rPr>
        <w:t xml:space="preserve"> </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CN"/>
        </w:rPr>
        <w:t>联系方式：0531-83012159</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采购代理机构：山东蓝盾</w:t>
      </w:r>
      <w:r>
        <w:rPr>
          <w:rFonts w:hint="eastAsia" w:asciiTheme="minorEastAsia" w:hAnsiTheme="minorEastAsia" w:eastAsiaTheme="minorEastAsia" w:cstheme="minorEastAsia"/>
          <w:color w:val="auto"/>
          <w:kern w:val="0"/>
          <w:sz w:val="24"/>
          <w:szCs w:val="24"/>
          <w:lang w:eastAsia="zh-CN"/>
        </w:rPr>
        <w:t>招标</w:t>
      </w:r>
      <w:r>
        <w:rPr>
          <w:rFonts w:hint="eastAsia" w:asciiTheme="minorEastAsia" w:hAnsiTheme="minorEastAsia" w:eastAsiaTheme="minorEastAsia" w:cstheme="minorEastAsia"/>
          <w:color w:val="auto"/>
          <w:kern w:val="0"/>
          <w:sz w:val="24"/>
          <w:szCs w:val="24"/>
        </w:rPr>
        <w:t>代理有限公司</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地址：山东省济南市高新区工业南路</w:t>
      </w:r>
      <w:r>
        <w:rPr>
          <w:rFonts w:hint="eastAsia" w:asciiTheme="minorEastAsia" w:hAnsiTheme="minorEastAsia" w:eastAsiaTheme="minorEastAsia" w:cstheme="minorEastAsia"/>
          <w:color w:val="auto"/>
          <w:kern w:val="0"/>
          <w:sz w:val="24"/>
          <w:szCs w:val="24"/>
          <w:lang w:val="en-US" w:eastAsia="zh-CN"/>
        </w:rPr>
        <w:t>59号中铁财智中心6号楼15楼</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zh-CN"/>
        </w:rPr>
        <w:t>联系方式：0531-88809762-80</w:t>
      </w:r>
      <w:r>
        <w:rPr>
          <w:rFonts w:hint="eastAsia" w:asciiTheme="minorEastAsia" w:hAnsiTheme="minorEastAsia" w:eastAsiaTheme="minorEastAsia" w:cstheme="minorEastAsia"/>
          <w:color w:val="auto"/>
          <w:kern w:val="0"/>
          <w:sz w:val="24"/>
          <w:szCs w:val="24"/>
          <w:lang w:val="en-US" w:eastAsia="zh-CN"/>
        </w:rPr>
        <w:t>10</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二、</w:t>
      </w:r>
      <w:r>
        <w:rPr>
          <w:rFonts w:hint="eastAsia" w:asciiTheme="minorEastAsia" w:hAnsiTheme="minorEastAsia" w:eastAsiaTheme="minorEastAsia" w:cstheme="minorEastAsia"/>
          <w:color w:val="auto"/>
          <w:kern w:val="0"/>
          <w:sz w:val="24"/>
          <w:szCs w:val="24"/>
        </w:rPr>
        <w:t>采购项目名称：</w:t>
      </w:r>
      <w:r>
        <w:rPr>
          <w:rFonts w:hint="eastAsia" w:asciiTheme="minorEastAsia" w:hAnsiTheme="minorEastAsia" w:eastAsiaTheme="minorEastAsia" w:cstheme="minorEastAsia"/>
          <w:color w:val="auto"/>
          <w:kern w:val="0"/>
          <w:sz w:val="24"/>
          <w:szCs w:val="24"/>
          <w:lang w:eastAsia="zh-CN"/>
        </w:rPr>
        <w:t>济南市历城区人民检察院新媒体运维拍摄服务项目</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采购项目编号（建议书编号）</w:t>
      </w:r>
      <w:r>
        <w:rPr>
          <w:rFonts w:hint="eastAsia" w:asciiTheme="minorEastAsia" w:hAnsiTheme="minorEastAsia" w:eastAsiaTheme="minorEastAsia" w:cstheme="minorEastAsia"/>
          <w:color w:val="auto"/>
          <w:kern w:val="0"/>
          <w:sz w:val="24"/>
          <w:szCs w:val="24"/>
          <w:lang w:eastAsia="zh-CN"/>
        </w:rPr>
        <w:t>：SDGP370112201902000804</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采购项目分包情况：</w:t>
      </w:r>
      <w:r>
        <w:rPr>
          <w:rFonts w:hint="eastAsia" w:asciiTheme="minorEastAsia" w:hAnsiTheme="minorEastAsia" w:eastAsiaTheme="minorEastAsia" w:cstheme="minorEastAsia"/>
          <w:color w:val="auto"/>
          <w:kern w:val="0"/>
          <w:sz w:val="24"/>
          <w:szCs w:val="24"/>
          <w:lang w:val="zh-CN"/>
        </w:rPr>
        <w:t xml:space="preserve"> </w:t>
      </w:r>
    </w:p>
    <w:tbl>
      <w:tblPr>
        <w:tblStyle w:val="22"/>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8"/>
        <w:gridCol w:w="612"/>
        <w:gridCol w:w="5650"/>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3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服务名称</w:t>
            </w:r>
          </w:p>
        </w:tc>
        <w:tc>
          <w:tcPr>
            <w:tcW w:w="6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数量</w:t>
            </w:r>
          </w:p>
        </w:tc>
        <w:tc>
          <w:tcPr>
            <w:tcW w:w="5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投标人资格要求</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本包预算金额</w:t>
            </w:r>
          </w:p>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5" w:hRule="atLeast"/>
          <w:jc w:val="center"/>
        </w:trPr>
        <w:tc>
          <w:tcPr>
            <w:tcW w:w="1338" w:type="dxa"/>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eastAsia="zh-CN"/>
              </w:rPr>
              <w:t>济南市历城区人民检察院新媒体运维拍摄服务项目</w:t>
            </w:r>
          </w:p>
        </w:tc>
        <w:tc>
          <w:tcPr>
            <w:tcW w:w="612" w:type="dxa"/>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1宗</w:t>
            </w:r>
          </w:p>
        </w:tc>
        <w:tc>
          <w:tcPr>
            <w:tcW w:w="5650" w:type="dxa"/>
            <w:tcBorders>
              <w:top w:val="single" w:color="auto" w:sz="4" w:space="0"/>
              <w:left w:val="single" w:color="auto" w:sz="4" w:space="0"/>
              <w:right w:val="single" w:color="auto" w:sz="4" w:space="0"/>
            </w:tcBorders>
            <w:vAlign w:val="top"/>
          </w:tcPr>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（1）供应商应符合《中华人民共和国政府采购法》第二十二条规定且应为未被列入信用中国网站（www.creditchina.gov.cn ）、中国政府采购网(www.ccgp.gov.cn)、信用山东（www.creditsd.gov.cn ）等渠道信用记录失信被执行人、重大税收违法案件当事人名单、政府采购严重违法失信行为记录名单；</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宋体" w:hAnsi="宋体" w:cs="宋体"/>
                <w:kern w:val="0"/>
                <w:sz w:val="24"/>
              </w:rPr>
              <w:t>具有独立承担民事责任的能力，在中国境内注册的独立法人、其他组织或者自然人，持有合法营业执照，且有能力提供采购</w:t>
            </w:r>
            <w:r>
              <w:rPr>
                <w:rFonts w:hint="eastAsia" w:ascii="宋体" w:hAnsi="宋体" w:cs="宋体"/>
                <w:kern w:val="0"/>
                <w:sz w:val="24"/>
                <w:lang w:eastAsia="zh-CN"/>
              </w:rPr>
              <w:t>服务</w:t>
            </w:r>
            <w:r>
              <w:rPr>
                <w:rFonts w:hint="eastAsia" w:ascii="宋体" w:hAnsi="宋体" w:cs="宋体"/>
                <w:kern w:val="0"/>
                <w:sz w:val="24"/>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近三年无重大犯罪记录声明函</w:t>
            </w:r>
            <w:r>
              <w:rPr>
                <w:rFonts w:hint="eastAsia" w:asciiTheme="minorEastAsia" w:hAnsiTheme="minorEastAsia" w:eastAsiaTheme="minorEastAsia" w:cstheme="minorEastAsia"/>
                <w:color w:val="auto"/>
                <w:kern w:val="0"/>
                <w:sz w:val="24"/>
                <w:szCs w:val="24"/>
                <w:highlight w:val="none"/>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）本项目不接受联合体报价；</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）法律法规规定的其他条款。</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30万元</w:t>
            </w:r>
          </w:p>
        </w:tc>
      </w:tr>
    </w:tbl>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三、采购需求（见附件1）</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四、获取</w:t>
      </w:r>
      <w:r>
        <w:rPr>
          <w:rFonts w:hint="eastAsia" w:asciiTheme="minorEastAsia" w:hAnsiTheme="minorEastAsia" w:eastAsiaTheme="minorEastAsia" w:cstheme="minorEastAsia"/>
          <w:color w:val="auto"/>
          <w:kern w:val="0"/>
          <w:sz w:val="24"/>
          <w:szCs w:val="24"/>
          <w:lang w:eastAsia="zh-CN"/>
        </w:rPr>
        <w:t>招标</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1.时间：</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11</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18</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9</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分至</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11</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22</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16</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分（北京时间，法定节假日除外）</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2.地点：</w:t>
      </w:r>
      <w:r>
        <w:rPr>
          <w:rFonts w:hint="eastAsia" w:asciiTheme="minorEastAsia" w:hAnsiTheme="minorEastAsia" w:eastAsiaTheme="minorEastAsia" w:cstheme="minorEastAsia"/>
          <w:color w:val="auto"/>
          <w:kern w:val="0"/>
          <w:sz w:val="24"/>
          <w:szCs w:val="24"/>
          <w:lang w:eastAsia="zh-CN"/>
        </w:rPr>
        <w:t>济南市高新区工业南路59号中铁财智中心6号楼15楼</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3.方式：</w:t>
      </w:r>
      <w:r>
        <w:rPr>
          <w:rFonts w:hint="eastAsia" w:asciiTheme="minorEastAsia" w:hAnsiTheme="minorEastAsia" w:eastAsiaTheme="minorEastAsia" w:cstheme="minorEastAsia"/>
          <w:color w:val="auto"/>
          <w:kern w:val="0"/>
          <w:sz w:val="24"/>
          <w:szCs w:val="24"/>
          <w:lang w:val="en-US" w:eastAsia="zh-CN"/>
        </w:rPr>
        <w:t>凡有意参加本项目的供应商必须先在中国山东政府采购网（http://www.ccgp-shandong.gov.cn）进行注册并登记报名，未在网上登记报名的供应商不具备本项目的投标资格。磋商文件可在本项目的采购公告下免费下载电子版。如需纸质版文件，请到代理公司处获取。</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4.售价：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00元/</w:t>
      </w:r>
      <w:r>
        <w:rPr>
          <w:rFonts w:hint="eastAsia" w:asciiTheme="minorEastAsia" w:hAnsiTheme="minorEastAsia" w:eastAsiaTheme="minorEastAsia" w:cstheme="minorEastAsia"/>
          <w:color w:val="auto"/>
          <w:kern w:val="0"/>
          <w:sz w:val="24"/>
          <w:szCs w:val="24"/>
          <w:lang w:eastAsia="zh-CN"/>
        </w:rPr>
        <w:t>本</w:t>
      </w:r>
      <w:r>
        <w:rPr>
          <w:rFonts w:hint="eastAsia" w:asciiTheme="minorEastAsia" w:hAnsiTheme="minorEastAsia" w:eastAsiaTheme="minorEastAsia" w:cstheme="minorEastAsia"/>
          <w:color w:val="auto"/>
          <w:kern w:val="0"/>
          <w:sz w:val="24"/>
          <w:szCs w:val="24"/>
        </w:rPr>
        <w:t>，售后不退</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五、公告期限：</w:t>
      </w:r>
      <w:r>
        <w:rPr>
          <w:rFonts w:hint="eastAsia" w:asciiTheme="minorEastAsia" w:hAnsiTheme="minorEastAsia" w:eastAsiaTheme="minorEastAsia" w:cstheme="minorEastAsia"/>
          <w:color w:val="auto"/>
          <w:kern w:val="0"/>
          <w:sz w:val="24"/>
          <w:szCs w:val="24"/>
          <w:u w:val="single"/>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11</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18</w:t>
      </w:r>
      <w:r>
        <w:rPr>
          <w:rFonts w:hint="eastAsia" w:asciiTheme="minorEastAsia" w:hAnsiTheme="minorEastAsia" w:eastAsiaTheme="minorEastAsia" w:cstheme="minorEastAsia"/>
          <w:color w:val="auto"/>
          <w:kern w:val="0"/>
          <w:sz w:val="24"/>
          <w:szCs w:val="24"/>
        </w:rPr>
        <w:t>日 至</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u w:val="single"/>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11</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22</w:t>
      </w:r>
      <w:r>
        <w:rPr>
          <w:rFonts w:hint="eastAsia" w:asciiTheme="minorEastAsia" w:hAnsiTheme="minorEastAsia" w:eastAsiaTheme="minorEastAsia" w:cstheme="minorEastAsia"/>
          <w:color w:val="auto"/>
          <w:kern w:val="0"/>
          <w:sz w:val="24"/>
          <w:szCs w:val="24"/>
        </w:rPr>
        <w:t>日</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六、递交投标文件时间及地点</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zh-CN"/>
        </w:rPr>
        <w:t>时间：</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11</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28</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13</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分至</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11</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28</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13</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30</w:t>
      </w:r>
      <w:r>
        <w:rPr>
          <w:rFonts w:hint="eastAsia" w:asciiTheme="minorEastAsia" w:hAnsiTheme="minorEastAsia" w:eastAsiaTheme="minorEastAsia" w:cstheme="minorEastAsia"/>
          <w:color w:val="auto"/>
          <w:kern w:val="0"/>
          <w:sz w:val="24"/>
          <w:szCs w:val="24"/>
        </w:rPr>
        <w:t>分（北京时间）</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2.地点：</w:t>
      </w:r>
      <w:r>
        <w:rPr>
          <w:rFonts w:hint="eastAsia" w:asciiTheme="minorEastAsia" w:hAnsiTheme="minorEastAsia" w:eastAsiaTheme="minorEastAsia" w:cstheme="minorEastAsia"/>
          <w:color w:val="auto"/>
          <w:kern w:val="0"/>
          <w:sz w:val="24"/>
          <w:szCs w:val="24"/>
          <w:lang w:eastAsia="zh-CN"/>
        </w:rPr>
        <w:t>济南市高新区工业南路59号中铁财智中心6号楼15楼</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七、开标时间及地点</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1.时间：</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u w:val="none"/>
          <w:lang w:val="zh-CN"/>
        </w:rPr>
        <w:t xml:space="preserve"> </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11</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28</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13</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30</w:t>
      </w:r>
      <w:r>
        <w:rPr>
          <w:rFonts w:hint="eastAsia" w:asciiTheme="minorEastAsia" w:hAnsiTheme="minorEastAsia" w:eastAsiaTheme="minorEastAsia" w:cstheme="minorEastAsia"/>
          <w:color w:val="auto"/>
          <w:kern w:val="0"/>
          <w:sz w:val="24"/>
          <w:szCs w:val="24"/>
        </w:rPr>
        <w:t>分（北京时间）</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2.地点</w:t>
      </w:r>
      <w:r>
        <w:rPr>
          <w:rFonts w:hint="eastAsia" w:asciiTheme="minorEastAsia" w:hAnsiTheme="minorEastAsia" w:eastAsiaTheme="minorEastAsia" w:cstheme="minorEastAsia"/>
          <w:color w:val="auto"/>
          <w:kern w:val="0"/>
          <w:sz w:val="24"/>
          <w:szCs w:val="24"/>
          <w:lang w:val="zh-CN"/>
        </w:rPr>
        <w:t>：济南市高新区工业南路59号中铁财智中心6号楼15楼</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八、采购项目联系方式</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联系人：</w:t>
      </w:r>
      <w:r>
        <w:rPr>
          <w:rFonts w:hint="eastAsia" w:asciiTheme="minorEastAsia" w:hAnsiTheme="minorEastAsia" w:eastAsiaTheme="minorEastAsia" w:cstheme="minorEastAsia"/>
          <w:color w:val="auto"/>
          <w:kern w:val="0"/>
          <w:sz w:val="24"/>
          <w:szCs w:val="24"/>
          <w:u w:val="single"/>
          <w:lang w:val="zh-CN"/>
        </w:rPr>
        <w:t>田生</w:t>
      </w:r>
      <w:r>
        <w:rPr>
          <w:rFonts w:hint="eastAsia" w:asciiTheme="minorEastAsia" w:hAnsiTheme="minorEastAsia" w:eastAsiaTheme="minorEastAsia" w:cstheme="minorEastAsia"/>
          <w:color w:val="auto"/>
          <w:kern w:val="0"/>
          <w:sz w:val="24"/>
          <w:szCs w:val="24"/>
          <w:u w:val="none"/>
          <w:lang w:val="en-US" w:eastAsia="zh-CN"/>
        </w:rPr>
        <w:t xml:space="preserve">   </w:t>
      </w:r>
      <w:r>
        <w:rPr>
          <w:rFonts w:hint="eastAsia" w:asciiTheme="minorEastAsia" w:hAnsiTheme="minorEastAsia" w:eastAsiaTheme="minorEastAsia" w:cstheme="minorEastAsia"/>
          <w:color w:val="auto"/>
          <w:kern w:val="0"/>
          <w:sz w:val="24"/>
          <w:szCs w:val="24"/>
          <w:lang w:val="zh-CN"/>
        </w:rPr>
        <w:t>联系方式：</w:t>
      </w:r>
      <w:r>
        <w:rPr>
          <w:rFonts w:hint="eastAsia" w:asciiTheme="minorEastAsia" w:hAnsiTheme="minorEastAsia" w:eastAsiaTheme="minorEastAsia" w:cstheme="minorEastAsia"/>
          <w:color w:val="auto"/>
          <w:kern w:val="0"/>
          <w:sz w:val="24"/>
          <w:szCs w:val="24"/>
          <w:u w:val="single"/>
          <w:lang w:val="en-US" w:eastAsia="zh-CN"/>
        </w:rPr>
        <w:t>0531-88809762-8010</w:t>
      </w:r>
      <w:r>
        <w:rPr>
          <w:rFonts w:hint="eastAsia" w:asciiTheme="minorEastAsia" w:hAnsiTheme="minorEastAsia" w:eastAsiaTheme="minorEastAsia" w:cstheme="minorEastAsia"/>
          <w:color w:val="auto"/>
          <w:kern w:val="0"/>
          <w:sz w:val="24"/>
          <w:szCs w:val="24"/>
          <w:lang w:val="zh-CN"/>
        </w:rPr>
        <w:t xml:space="preserve"> </w:t>
      </w:r>
    </w:p>
    <w:p>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九、采购项目的用途、数量、简要技术要求等</w:t>
      </w:r>
      <w:r>
        <w:rPr>
          <w:rFonts w:hint="eastAsia" w:asciiTheme="minorEastAsia" w:hAnsiTheme="minorEastAsia" w:eastAsiaTheme="minorEastAsia" w:cstheme="minorEastAsia"/>
          <w:color w:val="auto"/>
          <w:kern w:val="0"/>
          <w:sz w:val="24"/>
          <w:szCs w:val="24"/>
          <w:u w:val="single"/>
          <w:lang w:val="zh-CN"/>
        </w:rPr>
        <w:t>详见招标</w:t>
      </w:r>
    </w:p>
    <w:p>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十、采购项目需要落实的政府采购政策</w:t>
      </w:r>
      <w:r>
        <w:rPr>
          <w:rFonts w:hint="eastAsia" w:asciiTheme="minorEastAsia" w:hAnsiTheme="minorEastAsia" w:eastAsiaTheme="minorEastAsia" w:cstheme="minorEastAsia"/>
          <w:color w:val="auto"/>
          <w:kern w:val="0"/>
          <w:sz w:val="24"/>
          <w:szCs w:val="24"/>
          <w:u w:val="single"/>
          <w:lang w:val="zh-CN"/>
        </w:rPr>
        <w:t>详见招标</w:t>
      </w:r>
    </w:p>
    <w:p>
      <w:pPr>
        <w:adjustRightInd w:val="0"/>
        <w:snapToGrid w:val="0"/>
        <w:spacing w:line="360" w:lineRule="auto"/>
        <w:rPr>
          <w:rFonts w:hint="eastAsia" w:asciiTheme="minorEastAsia" w:hAnsiTheme="minorEastAsia" w:eastAsiaTheme="minorEastAsia" w:cstheme="minorEastAsia"/>
          <w:color w:val="auto"/>
          <w:kern w:val="0"/>
          <w:sz w:val="24"/>
          <w:szCs w:val="24"/>
        </w:rPr>
      </w:pPr>
    </w:p>
    <w:p>
      <w:pPr>
        <w:adjustRightInd w:val="0"/>
        <w:snapToGrid w:val="0"/>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附件：1.采购需求</w:t>
      </w:r>
    </w:p>
    <w:p>
      <w:pPr>
        <w:adjustRightInd w:val="0"/>
        <w:snapToGrid w:val="0"/>
        <w:spacing w:line="360" w:lineRule="auto"/>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rPr>
        <w:t xml:space="preserve">            2.</w:t>
      </w:r>
      <w:r>
        <w:rPr>
          <w:rFonts w:hint="eastAsia" w:asciiTheme="minorEastAsia" w:hAnsiTheme="minorEastAsia" w:eastAsiaTheme="minorEastAsia" w:cstheme="minorEastAsia"/>
          <w:color w:val="auto"/>
          <w:kern w:val="0"/>
          <w:sz w:val="24"/>
          <w:szCs w:val="24"/>
          <w:lang w:eastAsia="zh-CN"/>
        </w:rPr>
        <w:t>竞争性磋商文件</w:t>
      </w:r>
    </w:p>
    <w:p>
      <w:pPr>
        <w:adjustRightInd w:val="0"/>
        <w:snapToGrid w:val="0"/>
        <w:spacing w:line="360" w:lineRule="auto"/>
        <w:jc w:val="right"/>
        <w:rPr>
          <w:rFonts w:hint="eastAsia" w:asciiTheme="minorEastAsia" w:hAnsiTheme="minorEastAsia" w:eastAsiaTheme="minorEastAsia" w:cstheme="minorEastAsia"/>
          <w:color w:val="auto"/>
          <w:kern w:val="0"/>
          <w:sz w:val="24"/>
          <w:szCs w:val="24"/>
          <w:u w:val="single"/>
          <w:lang w:val="zh-CN"/>
        </w:rPr>
      </w:pP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 布 人：山东蓝盾招标代理有限公司</w:t>
      </w:r>
    </w:p>
    <w:p>
      <w:pPr>
        <w:adjustRightInd w:val="0"/>
        <w:snapToGrid w:val="0"/>
        <w:spacing w:line="360" w:lineRule="auto"/>
        <w:ind w:right="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发布时间：</w:t>
      </w:r>
      <w:r>
        <w:rPr>
          <w:rFonts w:hint="eastAsia" w:asciiTheme="minorEastAsia" w:hAnsiTheme="minorEastAsia" w:eastAsiaTheme="minorEastAsia" w:cstheme="minorEastAsia"/>
          <w:color w:val="auto"/>
          <w:kern w:val="0"/>
          <w:sz w:val="24"/>
          <w:szCs w:val="24"/>
          <w:u w:val="single"/>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11</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17</w:t>
      </w:r>
      <w:r>
        <w:rPr>
          <w:rFonts w:hint="eastAsia" w:asciiTheme="minorEastAsia" w:hAnsiTheme="minorEastAsia" w:eastAsiaTheme="minorEastAsia" w:cstheme="minorEastAsia"/>
          <w:color w:val="auto"/>
          <w:kern w:val="0"/>
          <w:sz w:val="24"/>
          <w:szCs w:val="24"/>
        </w:rPr>
        <w:t>日</w:t>
      </w:r>
    </w:p>
    <w:p>
      <w:pPr>
        <w:jc w:val="center"/>
        <w:outlineLvl w:val="0"/>
        <w:rPr>
          <w:rFonts w:hint="eastAsia" w:asciiTheme="majorEastAsia" w:hAnsiTheme="majorEastAsia" w:eastAsiaTheme="majorEastAsia" w:cstheme="majorEastAsia"/>
          <w:b/>
          <w:bCs/>
          <w:color w:val="auto"/>
          <w:sz w:val="32"/>
          <w:szCs w:val="32"/>
        </w:rPr>
      </w:pPr>
      <w:r>
        <w:rPr>
          <w:rFonts w:hint="eastAsia" w:ascii="宋体" w:hAnsi="宋体" w:eastAsia="宋体" w:cs="宋体"/>
          <w:b/>
          <w:bCs/>
          <w:color w:val="auto"/>
          <w:kern w:val="0"/>
          <w:sz w:val="28"/>
          <w:szCs w:val="28"/>
          <w:lang w:eastAsia="zh-CN" w:bidi="ar"/>
        </w:rPr>
        <w:br w:type="page"/>
      </w:r>
      <w:bookmarkStart w:id="8" w:name="_Toc21571"/>
      <w:r>
        <w:rPr>
          <w:rFonts w:hint="eastAsia" w:asciiTheme="majorEastAsia" w:hAnsiTheme="majorEastAsia" w:eastAsiaTheme="majorEastAsia" w:cstheme="majorEastAsia"/>
          <w:b/>
          <w:bCs/>
          <w:color w:val="auto"/>
          <w:sz w:val="32"/>
          <w:szCs w:val="32"/>
        </w:rPr>
        <w:t>第二部分  投标人须知</w:t>
      </w:r>
      <w:bookmarkEnd w:id="8"/>
    </w:p>
    <w:p>
      <w:pPr>
        <w:spacing w:line="48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lang w:val="en-US" w:eastAsia="zh-CN"/>
        </w:rPr>
        <w:t xml:space="preserve">      </w:t>
      </w:r>
      <w:r>
        <w:rPr>
          <w:rFonts w:hint="eastAsia" w:asciiTheme="majorEastAsia" w:hAnsiTheme="majorEastAsia" w:eastAsiaTheme="majorEastAsia" w:cstheme="majorEastAsia"/>
          <w:b/>
          <w:bCs/>
          <w:color w:val="auto"/>
          <w:sz w:val="32"/>
          <w:szCs w:val="32"/>
        </w:rPr>
        <w:t>前附表</w:t>
      </w:r>
    </w:p>
    <w:tbl>
      <w:tblPr>
        <w:tblStyle w:val="22"/>
        <w:tblW w:w="96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3"/>
        <w:gridCol w:w="1980"/>
        <w:gridCol w:w="67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tcBorders>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序号</w:t>
            </w:r>
          </w:p>
        </w:tc>
        <w:tc>
          <w:tcPr>
            <w:tcW w:w="1980" w:type="dxa"/>
            <w:tcBorders>
              <w:left w:val="single" w:color="auto" w:sz="4" w:space="0"/>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内容</w:t>
            </w:r>
          </w:p>
        </w:tc>
        <w:tc>
          <w:tcPr>
            <w:tcW w:w="6744" w:type="dxa"/>
            <w:tcBorders>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说明与要求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6" w:hRule="atLeast"/>
          <w:jc w:val="center"/>
        </w:trPr>
        <w:tc>
          <w:tcPr>
            <w:tcW w:w="923" w:type="dxa"/>
            <w:tcBorders>
              <w:bottom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1</w:t>
            </w:r>
          </w:p>
        </w:tc>
        <w:tc>
          <w:tcPr>
            <w:tcW w:w="1980" w:type="dxa"/>
            <w:tcBorders>
              <w:left w:val="single" w:color="auto" w:sz="4" w:space="0"/>
              <w:bottom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综合说明</w:t>
            </w:r>
          </w:p>
        </w:tc>
        <w:tc>
          <w:tcPr>
            <w:tcW w:w="6744" w:type="dxa"/>
            <w:tcBorders>
              <w:bottom w:val="single" w:color="auto" w:sz="4" w:space="0"/>
            </w:tcBorders>
            <w:vAlign w:val="top"/>
          </w:tcPr>
          <w:p>
            <w:pPr>
              <w:snapToGrid w:val="0"/>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单位：</w:t>
            </w:r>
            <w:r>
              <w:rPr>
                <w:rFonts w:hint="eastAsia" w:asciiTheme="minorEastAsia" w:hAnsiTheme="minorEastAsia" w:eastAsiaTheme="minorEastAsia" w:cstheme="minorEastAsia"/>
                <w:color w:val="auto"/>
                <w:sz w:val="24"/>
                <w:szCs w:val="24"/>
                <w:lang w:eastAsia="zh-CN"/>
              </w:rPr>
              <w:t>济南市历城区人民检察院</w:t>
            </w:r>
          </w:p>
          <w:p>
            <w:pPr>
              <w:spacing w:line="48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lang w:eastAsia="zh-CN"/>
              </w:rPr>
              <w:t>名称</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lang w:eastAsia="zh-CN"/>
              </w:rPr>
              <w:t>济南市历城区人民检察院新媒体运维拍摄服务项目</w:t>
            </w:r>
          </w:p>
          <w:p>
            <w:pPr>
              <w:spacing w:line="48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w:t>
            </w: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lang w:eastAsia="zh-CN"/>
              </w:rPr>
              <w:t>济南市历城区人民检察院</w:t>
            </w:r>
          </w:p>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范围：详见项目要求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23" w:type="dxa"/>
            <w:tcBorders>
              <w:top w:val="single" w:color="auto" w:sz="4" w:space="0"/>
            </w:tcBorders>
            <w:vAlign w:val="top"/>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2</w:t>
            </w:r>
          </w:p>
        </w:tc>
        <w:tc>
          <w:tcPr>
            <w:tcW w:w="1980" w:type="dxa"/>
            <w:tcBorders>
              <w:top w:val="single" w:color="auto" w:sz="4" w:space="0"/>
              <w:left w:val="single" w:color="auto" w:sz="4" w:space="0"/>
            </w:tcBorders>
            <w:vAlign w:val="top"/>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采购方式</w:t>
            </w:r>
          </w:p>
        </w:tc>
        <w:tc>
          <w:tcPr>
            <w:tcW w:w="6744" w:type="dxa"/>
            <w:tcBorders>
              <w:top w:val="single" w:color="auto" w:sz="4" w:space="0"/>
            </w:tcBorders>
            <w:vAlign w:val="top"/>
          </w:tcPr>
          <w:p>
            <w:pPr>
              <w:widowControl/>
              <w:spacing w:line="600" w:lineRule="exact"/>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z w:val="24"/>
                <w:szCs w:val="24"/>
                <w:lang w:eastAsia="zh-CN"/>
              </w:rPr>
              <w:t>竞争性磋商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3</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投标人资格要求</w:t>
            </w:r>
          </w:p>
        </w:tc>
        <w:tc>
          <w:tcPr>
            <w:tcW w:w="6744" w:type="dxa"/>
            <w:vAlign w:val="center"/>
          </w:tcPr>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（1）供应商应符合《中华人民共和国政府采购法》第二十二条规定且应为未被列入信用中国网站（www.creditchina.gov.cn ）、中国政府采购网(www.ccgp.gov.cn)、信用山东（www.creditsd.gov.cn ）等渠道信用记录失信被执行人、重大税收违法案件当事人名单、政府采购严重违法失信行为记录名单；</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宋体" w:hAnsi="宋体" w:cs="宋体"/>
                <w:kern w:val="0"/>
                <w:sz w:val="24"/>
              </w:rPr>
              <w:t>具有独立承担民事责任的能力，在中国境内注册的独立法人、其他组织或者自然人，持有合法营业执照，且有能力提供采购</w:t>
            </w:r>
            <w:r>
              <w:rPr>
                <w:rFonts w:hint="eastAsia" w:ascii="宋体" w:hAnsi="宋体" w:cs="宋体"/>
                <w:kern w:val="0"/>
                <w:sz w:val="24"/>
                <w:lang w:eastAsia="zh-CN"/>
              </w:rPr>
              <w:t>服务</w:t>
            </w:r>
            <w:r>
              <w:rPr>
                <w:rFonts w:hint="eastAsia" w:ascii="宋体" w:hAnsi="宋体" w:cs="宋体"/>
                <w:kern w:val="0"/>
                <w:sz w:val="24"/>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近三年无重大犯罪记录声明函</w:t>
            </w:r>
            <w:r>
              <w:rPr>
                <w:rFonts w:hint="eastAsia" w:asciiTheme="minorEastAsia" w:hAnsiTheme="minorEastAsia" w:eastAsiaTheme="minorEastAsia" w:cstheme="minorEastAsia"/>
                <w:color w:val="auto"/>
                <w:kern w:val="0"/>
                <w:sz w:val="24"/>
                <w:szCs w:val="24"/>
                <w:highlight w:val="none"/>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）本项目不接受联合体报价；</w:t>
            </w:r>
          </w:p>
          <w:p>
            <w:pPr>
              <w:widowControl/>
              <w:spacing w:line="360" w:lineRule="auto"/>
              <w:jc w:val="lef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）法律法规规定的其他条款。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4</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资格审查方式</w:t>
            </w:r>
          </w:p>
        </w:tc>
        <w:tc>
          <w:tcPr>
            <w:tcW w:w="6744" w:type="dxa"/>
            <w:vAlign w:val="center"/>
          </w:tcPr>
          <w:p>
            <w:pPr>
              <w:widowControl/>
              <w:autoSpaceDE w:val="0"/>
              <w:autoSpaceDN w:val="0"/>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资格后审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5</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资金来源</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6</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报价有效期</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报价后</w:t>
            </w:r>
            <w:r>
              <w:rPr>
                <w:rFonts w:hint="eastAsia" w:asciiTheme="minorEastAsia" w:hAnsiTheme="minorEastAsia" w:eastAsiaTheme="minorEastAsia" w:cstheme="minorEastAsia"/>
                <w:color w:val="auto"/>
                <w:spacing w:val="6"/>
                <w:sz w:val="24"/>
                <w:szCs w:val="24"/>
                <w:u w:val="single"/>
              </w:rPr>
              <w:t>90</w:t>
            </w:r>
            <w:r>
              <w:rPr>
                <w:rFonts w:hint="eastAsia" w:asciiTheme="minorEastAsia" w:hAnsiTheme="minorEastAsia" w:eastAsiaTheme="minorEastAsia" w:cstheme="minorEastAsia"/>
                <w:color w:val="auto"/>
                <w:spacing w:val="6"/>
                <w:sz w:val="24"/>
                <w:szCs w:val="24"/>
              </w:rPr>
              <w:t>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val="en-US" w:eastAsia="zh-CN"/>
              </w:rPr>
              <w:t>7</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报价文件份数</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正本一份,副本</w:t>
            </w:r>
            <w:r>
              <w:rPr>
                <w:rFonts w:hint="eastAsia" w:asciiTheme="minorEastAsia" w:hAnsiTheme="minorEastAsia" w:eastAsiaTheme="minorEastAsia" w:cstheme="minorEastAsia"/>
                <w:color w:val="auto"/>
                <w:spacing w:val="6"/>
                <w:sz w:val="24"/>
                <w:szCs w:val="24"/>
                <w:lang w:eastAsia="zh-CN"/>
              </w:rPr>
              <w:t>肆</w:t>
            </w:r>
            <w:r>
              <w:rPr>
                <w:rFonts w:hint="eastAsia" w:asciiTheme="minorEastAsia" w:hAnsiTheme="minorEastAsia" w:eastAsiaTheme="minorEastAsia" w:cstheme="minorEastAsia"/>
                <w:color w:val="auto"/>
                <w:spacing w:val="6"/>
                <w:sz w:val="24"/>
                <w:szCs w:val="24"/>
              </w:rPr>
              <w:t>份，电子文档一份（U盘贴标签）</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z w:val="24"/>
                <w:szCs w:val="24"/>
              </w:rPr>
              <w:t>单独密封的报价一览表三份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5"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8</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付款方式</w:t>
            </w:r>
          </w:p>
        </w:tc>
        <w:tc>
          <w:tcPr>
            <w:tcW w:w="6744" w:type="dxa"/>
            <w:vAlign w:val="center"/>
          </w:tcPr>
          <w:p>
            <w:pPr>
              <w:widowControl/>
              <w:spacing w:line="600" w:lineRule="exact"/>
              <w:jc w:val="left"/>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rPr>
              <w:t>合同签订</w:t>
            </w:r>
            <w:r>
              <w:rPr>
                <w:rFonts w:hint="eastAsia" w:asciiTheme="minorEastAsia" w:hAnsiTheme="minorEastAsia" w:eastAsiaTheme="minorEastAsia" w:cstheme="minorEastAsia"/>
                <w:color w:val="auto"/>
                <w:spacing w:val="6"/>
                <w:sz w:val="24"/>
                <w:szCs w:val="24"/>
                <w:lang w:eastAsia="zh-CN"/>
              </w:rPr>
              <w:t>，支付合同金额的</w:t>
            </w:r>
            <w:r>
              <w:rPr>
                <w:rFonts w:hint="eastAsia" w:asciiTheme="minorEastAsia" w:hAnsiTheme="minorEastAsia" w:eastAsiaTheme="minorEastAsia" w:cstheme="minorEastAsia"/>
                <w:color w:val="auto"/>
                <w:spacing w:val="6"/>
                <w:sz w:val="24"/>
                <w:szCs w:val="24"/>
                <w:lang w:val="en-US" w:eastAsia="zh-CN"/>
              </w:rPr>
              <w:t>50%，项目服务期满，经验收合格后，支付至合同额的100%。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9</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提出疑问时间及方式</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u w:val="single"/>
              </w:rPr>
            </w:pPr>
            <w:r>
              <w:rPr>
                <w:rFonts w:hint="eastAsia" w:asciiTheme="minorEastAsia" w:hAnsiTheme="minorEastAsia" w:eastAsiaTheme="minorEastAsia" w:cstheme="minorEastAsia"/>
                <w:color w:val="auto"/>
                <w:sz w:val="24"/>
                <w:szCs w:val="24"/>
              </w:rPr>
              <w:t xml:space="preserve">时间 ： </w:t>
            </w:r>
            <w:r>
              <w:rPr>
                <w:rFonts w:hint="eastAsia" w:asciiTheme="minorEastAsia" w:hAnsiTheme="minorEastAsia" w:eastAsiaTheme="minorEastAsia" w:cstheme="minorEastAsia"/>
                <w:color w:val="auto"/>
                <w:sz w:val="24"/>
                <w:szCs w:val="24"/>
                <w:u w:val="single"/>
              </w:rPr>
              <w:t>201</w:t>
            </w:r>
            <w:r>
              <w:rPr>
                <w:rFonts w:hint="eastAsia" w:asciiTheme="minorEastAsia" w:hAnsiTheme="minorEastAsia" w:eastAsiaTheme="minorEastAsia" w:cstheme="minorEastAsia"/>
                <w:color w:val="auto"/>
                <w:sz w:val="24"/>
                <w:szCs w:val="24"/>
                <w:u w:val="single"/>
                <w:lang w:val="en-US" w:eastAsia="zh-CN"/>
              </w:rPr>
              <w:t>9</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11</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22</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pacing w:val="6"/>
                <w:sz w:val="24"/>
                <w:szCs w:val="24"/>
                <w:u w:val="single"/>
              </w:rPr>
              <w:t>下午</w:t>
            </w:r>
            <w:r>
              <w:rPr>
                <w:rFonts w:hint="eastAsia" w:asciiTheme="minorEastAsia" w:hAnsiTheme="minorEastAsia" w:eastAsiaTheme="minorEastAsia" w:cstheme="minorEastAsia"/>
                <w:color w:val="auto"/>
                <w:spacing w:val="6"/>
                <w:sz w:val="24"/>
                <w:szCs w:val="24"/>
                <w:u w:val="single"/>
                <w:lang w:val="en-US" w:eastAsia="zh-CN"/>
              </w:rPr>
              <w:t>17</w:t>
            </w:r>
            <w:r>
              <w:rPr>
                <w:rFonts w:hint="eastAsia" w:asciiTheme="minorEastAsia" w:hAnsiTheme="minorEastAsia" w:eastAsiaTheme="minorEastAsia" w:cstheme="minorEastAsia"/>
                <w:color w:val="auto"/>
                <w:spacing w:val="6"/>
                <w:sz w:val="24"/>
                <w:szCs w:val="24"/>
                <w:u w:val="single"/>
              </w:rPr>
              <w:t>：</w:t>
            </w:r>
            <w:r>
              <w:rPr>
                <w:rFonts w:hint="eastAsia" w:asciiTheme="minorEastAsia" w:hAnsiTheme="minorEastAsia" w:eastAsiaTheme="minorEastAsia" w:cstheme="minorEastAsia"/>
                <w:color w:val="auto"/>
                <w:spacing w:val="6"/>
                <w:sz w:val="24"/>
                <w:szCs w:val="24"/>
                <w:u w:val="single"/>
                <w:lang w:val="en-US" w:eastAsia="zh-CN"/>
              </w:rPr>
              <w:t>3</w:t>
            </w:r>
            <w:r>
              <w:rPr>
                <w:rFonts w:hint="eastAsia" w:asciiTheme="minorEastAsia" w:hAnsiTheme="minorEastAsia" w:eastAsiaTheme="minorEastAsia" w:cstheme="minorEastAsia"/>
                <w:color w:val="auto"/>
                <w:spacing w:val="6"/>
                <w:sz w:val="24"/>
                <w:szCs w:val="24"/>
                <w:u w:val="single"/>
              </w:rPr>
              <w:t>0前（北京时间）</w:t>
            </w:r>
          </w:p>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方式：各投标人应标注好公司名称后，以电子版形式发送至:山东蓝盾</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代理有限公司,电子邮箱：</w:t>
            </w:r>
            <w:r>
              <w:rPr>
                <w:rFonts w:hint="eastAsia" w:asciiTheme="minorEastAsia" w:hAnsiTheme="minorEastAsia" w:eastAsiaTheme="minorEastAsia" w:cstheme="minorEastAsia"/>
                <w:color w:val="auto"/>
                <w:spacing w:val="6"/>
                <w:sz w:val="24"/>
                <w:szCs w:val="24"/>
              </w:rPr>
              <w:fldChar w:fldCharType="begin"/>
            </w:r>
            <w:r>
              <w:rPr>
                <w:rFonts w:hint="eastAsia" w:asciiTheme="minorEastAsia" w:hAnsiTheme="minorEastAsia" w:eastAsiaTheme="minorEastAsia" w:cstheme="minorEastAsia"/>
                <w:color w:val="auto"/>
                <w:spacing w:val="6"/>
                <w:sz w:val="24"/>
                <w:szCs w:val="24"/>
              </w:rPr>
              <w:instrText xml:space="preserve"> HYPERLINK "mailto:3074873787@qq.com。" </w:instrText>
            </w:r>
            <w:r>
              <w:rPr>
                <w:rFonts w:hint="eastAsia" w:asciiTheme="minorEastAsia" w:hAnsiTheme="minorEastAsia" w:eastAsiaTheme="minorEastAsia" w:cstheme="minorEastAsia"/>
                <w:color w:val="auto"/>
                <w:spacing w:val="6"/>
                <w:sz w:val="24"/>
                <w:szCs w:val="24"/>
              </w:rPr>
              <w:fldChar w:fldCharType="separate"/>
            </w:r>
            <w:r>
              <w:rPr>
                <w:rFonts w:hint="eastAsia" w:asciiTheme="minorEastAsia" w:hAnsiTheme="minorEastAsia" w:eastAsiaTheme="minorEastAsia" w:cstheme="minorEastAsia"/>
                <w:color w:val="auto"/>
                <w:spacing w:val="6"/>
                <w:sz w:val="24"/>
                <w:szCs w:val="24"/>
              </w:rPr>
              <w:t>SDLDZBDL@163.com，</w:t>
            </w:r>
            <w:r>
              <w:rPr>
                <w:rFonts w:hint="eastAsia" w:asciiTheme="minorEastAsia" w:hAnsiTheme="minorEastAsia" w:eastAsiaTheme="minorEastAsia" w:cstheme="minorEastAsia"/>
                <w:color w:val="auto"/>
                <w:spacing w:val="6"/>
                <w:sz w:val="24"/>
                <w:szCs w:val="24"/>
              </w:rPr>
              <w:fldChar w:fldCharType="end"/>
            </w:r>
            <w:r>
              <w:rPr>
                <w:rFonts w:hint="eastAsia" w:asciiTheme="minorEastAsia" w:hAnsiTheme="minorEastAsia" w:eastAsiaTheme="minorEastAsia" w:cstheme="minorEastAsia"/>
                <w:color w:val="auto"/>
                <w:spacing w:val="6"/>
                <w:sz w:val="24"/>
                <w:szCs w:val="24"/>
              </w:rPr>
              <w:t>并电话通知</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代理单位。</w:t>
            </w:r>
          </w:p>
          <w:p>
            <w:pPr>
              <w:widowControl/>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联系人：</w:t>
            </w:r>
            <w:r>
              <w:rPr>
                <w:rFonts w:hint="eastAsia" w:asciiTheme="minorEastAsia" w:hAnsiTheme="minorEastAsia" w:eastAsiaTheme="minorEastAsia" w:cstheme="minorEastAsia"/>
                <w:color w:val="auto"/>
                <w:spacing w:val="6"/>
                <w:sz w:val="24"/>
                <w:szCs w:val="24"/>
                <w:lang w:eastAsia="zh-CN"/>
              </w:rPr>
              <w:t>田</w:t>
            </w:r>
            <w:r>
              <w:rPr>
                <w:rFonts w:hint="eastAsia" w:asciiTheme="minorEastAsia" w:hAnsiTheme="minorEastAsia" w:eastAsiaTheme="minorEastAsia" w:cstheme="minorEastAsia"/>
                <w:color w:val="auto"/>
                <w:spacing w:val="6"/>
                <w:sz w:val="24"/>
                <w:szCs w:val="24"/>
              </w:rPr>
              <w:t>老师；联系电话：</w:t>
            </w:r>
            <w:r>
              <w:rPr>
                <w:rFonts w:hint="eastAsia" w:asciiTheme="minorEastAsia" w:hAnsiTheme="minorEastAsia" w:eastAsiaTheme="minorEastAsia" w:cstheme="minorEastAsia"/>
                <w:color w:val="auto"/>
                <w:sz w:val="24"/>
                <w:szCs w:val="24"/>
              </w:rPr>
              <w:t>0531-88809762-80</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代理机构将视情况采用适当方式予以澄清或以书面形式答复。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jc w:val="center"/>
        </w:trPr>
        <w:tc>
          <w:tcPr>
            <w:tcW w:w="923" w:type="dxa"/>
            <w:vMerge w:val="restart"/>
            <w:vAlign w:val="center"/>
          </w:tcPr>
          <w:p>
            <w:pPr>
              <w:widowControl/>
              <w:spacing w:line="600" w:lineRule="exact"/>
              <w:jc w:val="center"/>
              <w:rPr>
                <w:rFonts w:hint="default"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10</w:t>
            </w:r>
          </w:p>
        </w:tc>
        <w:tc>
          <w:tcPr>
            <w:tcW w:w="1980" w:type="dxa"/>
            <w:vMerge w:val="restart"/>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递交报价文件截止时间、地点</w:t>
            </w:r>
          </w:p>
        </w:tc>
        <w:tc>
          <w:tcPr>
            <w:tcW w:w="6744" w:type="dxa"/>
            <w:tcBorders>
              <w:bottom w:val="single" w:color="auto" w:sz="4" w:space="0"/>
            </w:tcBorders>
            <w:vAlign w:val="center"/>
          </w:tcPr>
          <w:p>
            <w:pPr>
              <w:widowControl/>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下午</w:t>
            </w:r>
            <w:r>
              <w:rPr>
                <w:rFonts w:hint="eastAsia" w:asciiTheme="minorEastAsia" w:hAnsiTheme="minorEastAsia" w:eastAsiaTheme="minorEastAsia" w:cstheme="minorEastAsia"/>
                <w:color w:val="auto"/>
                <w:spacing w:val="6"/>
                <w:sz w:val="24"/>
                <w:szCs w:val="24"/>
                <w:lang w:val="en-US" w:eastAsia="zh-CN"/>
              </w:rPr>
              <w:t>13</w:t>
            </w:r>
            <w:r>
              <w:rPr>
                <w:rFonts w:hint="eastAsia" w:asciiTheme="minorEastAsia" w:hAnsiTheme="minorEastAsia" w:eastAsiaTheme="minorEastAsia" w:cstheme="minorEastAsia"/>
                <w:color w:val="auto"/>
                <w:spacing w:val="6"/>
                <w:sz w:val="24"/>
                <w:szCs w:val="24"/>
              </w:rPr>
              <w:t>:30（北京时间）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5" w:hRule="atLeast"/>
          <w:jc w:val="center"/>
        </w:trPr>
        <w:tc>
          <w:tcPr>
            <w:tcW w:w="923" w:type="dxa"/>
            <w:vMerge w:val="continue"/>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1980" w:type="dxa"/>
            <w:vMerge w:val="continue"/>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6744" w:type="dxa"/>
            <w:tcBorders>
              <w:top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6"/>
                <w:sz w:val="24"/>
                <w:szCs w:val="24"/>
                <w:lang w:eastAsia="zh-CN"/>
              </w:rPr>
              <w:t>济南市高新区工业南路59号中铁财智中心6号楼15楼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923" w:type="dxa"/>
            <w:vMerge w:val="restart"/>
            <w:vAlign w:val="center"/>
          </w:tcPr>
          <w:p>
            <w:pPr>
              <w:widowControl/>
              <w:spacing w:line="600" w:lineRule="exact"/>
              <w:jc w:val="center"/>
              <w:rPr>
                <w:rFonts w:hint="default"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11</w:t>
            </w:r>
          </w:p>
        </w:tc>
        <w:tc>
          <w:tcPr>
            <w:tcW w:w="1980" w:type="dxa"/>
            <w:vMerge w:val="restart"/>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w:t>
            </w:r>
          </w:p>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时间及地点</w:t>
            </w:r>
          </w:p>
        </w:tc>
        <w:tc>
          <w:tcPr>
            <w:tcW w:w="6744" w:type="dxa"/>
            <w:tcBorders>
              <w:bottom w:val="single" w:color="auto" w:sz="4" w:space="0"/>
            </w:tcBorders>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时间：</w:t>
            </w:r>
            <w:r>
              <w:rPr>
                <w:rFonts w:hint="eastAsia" w:asciiTheme="minorEastAsia" w:hAnsiTheme="minorEastAsia" w:eastAsiaTheme="minorEastAsia" w:cstheme="minorEastAsia"/>
                <w:color w:val="auto"/>
                <w:sz w:val="24"/>
                <w:szCs w:val="24"/>
              </w:rPr>
              <w:t>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pacing w:val="6"/>
                <w:sz w:val="24"/>
                <w:szCs w:val="24"/>
                <w:lang w:eastAsia="zh-CN"/>
              </w:rPr>
              <w:t>下</w:t>
            </w:r>
            <w:r>
              <w:rPr>
                <w:rFonts w:hint="eastAsia" w:asciiTheme="minorEastAsia" w:hAnsiTheme="minorEastAsia" w:eastAsiaTheme="minorEastAsia" w:cstheme="minorEastAsia"/>
                <w:color w:val="auto"/>
                <w:spacing w:val="6"/>
                <w:sz w:val="24"/>
                <w:szCs w:val="24"/>
              </w:rPr>
              <w:t>午</w:t>
            </w:r>
            <w:r>
              <w:rPr>
                <w:rFonts w:hint="eastAsia" w:asciiTheme="minorEastAsia" w:hAnsiTheme="minorEastAsia" w:eastAsiaTheme="minorEastAsia" w:cstheme="minorEastAsia"/>
                <w:color w:val="auto"/>
                <w:spacing w:val="6"/>
                <w:sz w:val="24"/>
                <w:szCs w:val="24"/>
                <w:lang w:val="en-US" w:eastAsia="zh-CN"/>
              </w:rPr>
              <w:t>13</w:t>
            </w:r>
            <w:r>
              <w:rPr>
                <w:rFonts w:hint="eastAsia" w:asciiTheme="minorEastAsia" w:hAnsiTheme="minorEastAsia" w:eastAsiaTheme="minorEastAsia" w:cstheme="minorEastAsia"/>
                <w:color w:val="auto"/>
                <w:spacing w:val="6"/>
                <w:sz w:val="24"/>
                <w:szCs w:val="24"/>
              </w:rPr>
              <w:t>：30（北京时间）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23" w:type="dxa"/>
            <w:vMerge w:val="continue"/>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1980" w:type="dxa"/>
            <w:vMerge w:val="continue"/>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6744" w:type="dxa"/>
            <w:tcBorders>
              <w:top w:val="single" w:color="auto" w:sz="4" w:space="0"/>
              <w:bottom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rPr>
              <w:t>地点：</w:t>
            </w:r>
            <w:r>
              <w:rPr>
                <w:rFonts w:hint="eastAsia" w:asciiTheme="minorEastAsia" w:hAnsiTheme="minorEastAsia" w:eastAsiaTheme="minorEastAsia" w:cstheme="minorEastAsia"/>
                <w:color w:val="auto"/>
                <w:sz w:val="24"/>
                <w:szCs w:val="24"/>
                <w:lang w:eastAsia="zh-CN"/>
              </w:rPr>
              <w:t>济南市高新区工业南路59号中铁财智中心6号楼15楼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23" w:type="dxa"/>
            <w:vAlign w:val="center"/>
          </w:tcPr>
          <w:p>
            <w:pPr>
              <w:widowControl/>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980" w:type="dxa"/>
            <w:tcBorders>
              <w:lef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工期</w:t>
            </w:r>
          </w:p>
        </w:tc>
        <w:tc>
          <w:tcPr>
            <w:tcW w:w="6744" w:type="dxa"/>
            <w:tcBorders>
              <w:top w:val="single" w:color="auto" w:sz="4" w:space="0"/>
              <w:bottom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自签订合同之日起</w:t>
            </w:r>
            <w:r>
              <w:rPr>
                <w:rFonts w:hint="eastAsia" w:asciiTheme="minorEastAsia" w:hAnsiTheme="minorEastAsia" w:eastAsiaTheme="minorEastAsia" w:cstheme="minorEastAsia"/>
                <w:color w:val="auto"/>
                <w:sz w:val="24"/>
                <w:szCs w:val="24"/>
                <w:lang w:val="en-US" w:eastAsia="zh-CN"/>
              </w:rPr>
              <w:t>3天</w:t>
            </w:r>
            <w:r>
              <w:rPr>
                <w:rFonts w:hint="eastAsia" w:asciiTheme="minorEastAsia" w:hAnsiTheme="minorEastAsia" w:eastAsiaTheme="minorEastAsia" w:cstheme="minorEastAsia"/>
                <w:color w:val="auto"/>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23" w:type="dxa"/>
            <w:vAlign w:val="center"/>
          </w:tcPr>
          <w:p>
            <w:pPr>
              <w:widowControl/>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980" w:type="dxa"/>
            <w:tcBorders>
              <w:lef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投标文件装订方式</w:t>
            </w:r>
          </w:p>
        </w:tc>
        <w:tc>
          <w:tcPr>
            <w:tcW w:w="6744" w:type="dxa"/>
            <w:tcBorders>
              <w:top w:val="single" w:color="auto" w:sz="4" w:space="0"/>
              <w:bottom w:val="single" w:color="auto" w:sz="4" w:space="0"/>
            </w:tcBorders>
            <w:vAlign w:val="center"/>
          </w:tcPr>
          <w:p>
            <w:pPr>
              <w:widowControl/>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胶装，否则视为无效投标</w:t>
            </w:r>
          </w:p>
        </w:tc>
      </w:tr>
      <w:bookmarkEnd w:id="5"/>
      <w:bookmarkEnd w:id="6"/>
      <w:bookmarkEnd w:id="7"/>
    </w:tbl>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一、说明</w:t>
      </w:r>
    </w:p>
    <w:p>
      <w:pPr>
        <w:pStyle w:val="15"/>
        <w:adjustRightInd w:val="0"/>
        <w:snapToGrid w:val="0"/>
        <w:spacing w:line="360" w:lineRule="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w:t>
      </w:r>
      <w:r>
        <w:rPr>
          <w:rFonts w:hint="eastAsia" w:asciiTheme="minorEastAsia" w:hAnsiTheme="minorEastAsia" w:eastAsiaTheme="minorEastAsia" w:cstheme="minorEastAsia"/>
          <w:b w:val="0"/>
          <w:color w:val="auto"/>
          <w:sz w:val="24"/>
          <w:szCs w:val="24"/>
          <w:lang w:val="en-US" w:eastAsia="zh-CN"/>
        </w:rPr>
        <w:t xml:space="preserve"> </w:t>
      </w:r>
      <w:r>
        <w:rPr>
          <w:rFonts w:hint="eastAsia" w:asciiTheme="minorEastAsia" w:hAnsiTheme="minorEastAsia" w:eastAsiaTheme="minorEastAsia" w:cstheme="minorEastAsia"/>
          <w:b w:val="0"/>
          <w:color w:val="auto"/>
          <w:sz w:val="24"/>
          <w:szCs w:val="24"/>
        </w:rPr>
        <w:t>1.适用范围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本竞争性磋商文件仅适用于本次竞争性磋商资格公告中所叙述的项目。通过竞争性磋商方式择优选择成交供应商。</w:t>
      </w:r>
    </w:p>
    <w:p>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2.定义</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人”系指</w:t>
      </w:r>
      <w:r>
        <w:rPr>
          <w:rFonts w:hint="eastAsia" w:asciiTheme="minorEastAsia" w:hAnsiTheme="minorEastAsia" w:eastAsiaTheme="minorEastAsia" w:cstheme="minorEastAsia"/>
          <w:bCs/>
          <w:color w:val="auto"/>
          <w:sz w:val="24"/>
          <w:szCs w:val="24"/>
          <w:lang w:eastAsia="zh-CN"/>
        </w:rPr>
        <w:t>济南市历城区人民检察院</w:t>
      </w:r>
      <w:r>
        <w:rPr>
          <w:rFonts w:hint="eastAsia" w:asciiTheme="minorEastAsia" w:hAnsiTheme="minorEastAsia" w:eastAsiaTheme="minorEastAsia" w:cstheme="minorEastAsia"/>
          <w:bCs/>
          <w:color w:val="auto"/>
          <w:sz w:val="24"/>
          <w:szCs w:val="24"/>
        </w:rPr>
        <w:t>。</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代理机构”系指山东蓝盾</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代理有限公司。</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2.3“投标人”系指响应</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并参加投标竞争的单位。</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2.4“中标人”系指由</w:t>
      </w:r>
      <w:r>
        <w:rPr>
          <w:rFonts w:hint="eastAsia" w:asciiTheme="minorEastAsia" w:hAnsiTheme="minorEastAsia" w:eastAsiaTheme="minorEastAsia" w:cstheme="minorEastAsia"/>
          <w:bCs/>
          <w:color w:val="auto"/>
          <w:sz w:val="24"/>
          <w:szCs w:val="24"/>
          <w:lang w:eastAsia="zh-CN"/>
        </w:rPr>
        <w:t>磋商小组</w:t>
      </w:r>
      <w:r>
        <w:rPr>
          <w:rFonts w:hint="eastAsia" w:asciiTheme="minorEastAsia" w:hAnsiTheme="minorEastAsia" w:eastAsiaTheme="minorEastAsia" w:cstheme="minorEastAsia"/>
          <w:bCs/>
          <w:color w:val="auto"/>
          <w:sz w:val="24"/>
          <w:szCs w:val="24"/>
        </w:rPr>
        <w:t>综合评审确定的取得与</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人签订合同资格的投标人。</w:t>
      </w:r>
    </w:p>
    <w:p>
      <w:pPr>
        <w:adjustRightInd w:val="0"/>
        <w:snapToGrid w:val="0"/>
        <w:spacing w:line="360" w:lineRule="auto"/>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3.踏勘现场</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3.1各投标人应根据自身情况，对本项目的现场及周围环境进行踏勘和审阅，以便投标人获取有关编制投标文件和签署合同所涉及现场的资料，踏勘现场所需车辆及相关费用自理。</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3.2投标人踏勘现场所获得的资料将被认为已了解了本项目的现场情况，掌握了编制投标文件的有关条件。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人向投标人提供的有关现场的资料和数据，是</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人现有的能使投标人利用的资料。</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人对投标人由此而做出的推论、理解和结论概不负责。</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3.3投标人及其人员经过</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人的允许，可为踏勘目的进入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人的工程现场，但投标人及其人员不得因此使</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人及其人员承担有关的责任和蒙受损失。投标人并应对由此次踏勘现场而造成的死亡、人身伤害、财产损失、损害以及任何其它损失、损害和引起的费用和开支承担责任。</w:t>
      </w:r>
    </w:p>
    <w:p>
      <w:pPr>
        <w:adjustRightInd w:val="0"/>
        <w:snapToGrid w:val="0"/>
        <w:spacing w:line="360" w:lineRule="auto"/>
        <w:ind w:firstLine="241" w:firstLineChars="100"/>
        <w:jc w:val="left"/>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二、竞争性磋商文件说明</w:t>
      </w:r>
    </w:p>
    <w:p>
      <w:pPr>
        <w:numPr>
          <w:ilvl w:val="0"/>
          <w:numId w:val="1"/>
        </w:numPr>
        <w:adjustRightInd w:val="0"/>
        <w:snapToGrid w:val="0"/>
        <w:spacing w:line="360" w:lineRule="auto"/>
        <w:ind w:firstLine="56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磋商文件</w:t>
      </w:r>
      <w:r>
        <w:rPr>
          <w:rFonts w:hint="eastAsia" w:asciiTheme="minorEastAsia" w:hAnsiTheme="minorEastAsia" w:eastAsiaTheme="minorEastAsia" w:cstheme="minorEastAsia"/>
          <w:b/>
          <w:bCs/>
          <w:color w:val="auto"/>
          <w:sz w:val="24"/>
          <w:szCs w:val="24"/>
        </w:rPr>
        <w:t>说明</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的组成</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4.1.1</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4.1.2投标人须知</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4.1.3项目说明</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4.1.4开标、评标、定标</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4.1.5合同格式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4.1.6投标书格式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4.1.7评分细则</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4.1.8 封皮格式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bookmarkStart w:id="9" w:name="_Toc15118"/>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的修改</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4.2.1</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必须修改的内容，需在</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要求提交投标文件截止时间15 日前，以书面形式通知已购买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的所有投标人。补充文件将作为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的组成部分，对所有投标人均具有约束力。</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4.2.2为使投标人有足够的时间按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的要求修改投标文件，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代理机构可酌情推迟投标的截止时间和日期，并将此变更书面通知上述每一投标人。</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4.3</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的澄清</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如有疑问可要求澄清，应在 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日下午</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0前（北京时间）前以书面形式向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代理机构提出澄清要求，须将要求澄清内容发送电子邮件SDLDZBDL@163.com。并电话通知</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公告所列的联系人。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代理机构将视情况采用适当方式予以澄清或以书面形式答复。在其认为必要时，将不标明查询来源的书面答复于投标截止时间5 日前发给所有购买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的投标人。投标人在收到该澄清文件后应于当日内，以书面形式给予确认，逾期不确认视为认同。澄清或答复作为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 xml:space="preserve">的组成部分，具有约束作用。在规定时间以后提出的澄清要求将不予受理。 </w:t>
      </w:r>
    </w:p>
    <w:p>
      <w:pPr>
        <w:adjustRightInd w:val="0"/>
        <w:snapToGrid w:val="0"/>
        <w:spacing w:line="360" w:lineRule="auto"/>
        <w:jc w:val="left"/>
        <w:rPr>
          <w:rFonts w:hint="eastAsia" w:asciiTheme="minorEastAsia" w:hAnsiTheme="minorEastAsia" w:eastAsiaTheme="minorEastAsia" w:cstheme="minorEastAsia"/>
          <w:b/>
          <w:bCs/>
          <w:color w:val="auto"/>
          <w:sz w:val="24"/>
          <w:szCs w:val="24"/>
        </w:rPr>
      </w:pPr>
      <w:bookmarkStart w:id="10" w:name="_Toc32726"/>
      <w:r>
        <w:rPr>
          <w:rFonts w:hint="eastAsia" w:asciiTheme="minorEastAsia" w:hAnsiTheme="minorEastAsia" w:eastAsiaTheme="minorEastAsia" w:cstheme="minorEastAsia"/>
          <w:b/>
          <w:bCs/>
          <w:color w:val="auto"/>
          <w:sz w:val="24"/>
          <w:szCs w:val="24"/>
        </w:rPr>
        <w:t>三.投标文件的编制</w:t>
      </w:r>
      <w:bookmarkEnd w:id="9"/>
      <w:bookmarkEnd w:id="10"/>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5.1投标文件的组成</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投标人应按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的要求编写投标文件，提交证明其有资格进行投标和有能力履行合同的文件。</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bCs/>
          <w:color w:val="auto"/>
          <w:sz w:val="24"/>
          <w:szCs w:val="24"/>
        </w:rPr>
        <w:t>投标文件由投标函部分、资格审查部分、商务部分及技术部分四部分构成。</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5.1.1投标函部分 </w:t>
      </w:r>
    </w:p>
    <w:p>
      <w:pPr>
        <w:numPr>
          <w:ilvl w:val="0"/>
          <w:numId w:val="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法定代表人或授权代理人签署的投标函；</w:t>
      </w:r>
    </w:p>
    <w:p>
      <w:pPr>
        <w:numPr>
          <w:ilvl w:val="0"/>
          <w:numId w:val="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法人代表人</w:t>
      </w:r>
      <w:r>
        <w:rPr>
          <w:rFonts w:hint="eastAsia" w:asciiTheme="minorEastAsia" w:hAnsiTheme="minorEastAsia" w:eastAsiaTheme="minorEastAsia" w:cstheme="minorEastAsia"/>
          <w:color w:val="auto"/>
          <w:sz w:val="24"/>
          <w:szCs w:val="24"/>
          <w:lang w:eastAsia="zh-CN"/>
        </w:rPr>
        <w:t>（负责人）</w:t>
      </w:r>
      <w:r>
        <w:rPr>
          <w:rFonts w:hint="eastAsia" w:asciiTheme="minorEastAsia" w:hAnsiTheme="minorEastAsia" w:eastAsiaTheme="minorEastAsia" w:cstheme="minorEastAsia"/>
          <w:color w:val="auto"/>
          <w:sz w:val="24"/>
          <w:szCs w:val="24"/>
        </w:rPr>
        <w:t>授权委托书及被授权人身份证，如法人参加提供法人身份证；</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（3）开标一览表。</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5.1.2 资格审查部分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以下内容要求投标人在报价文件中附加盖公章的复印件，否则其报价无效</w:t>
      </w:r>
      <w:bookmarkStart w:id="11" w:name="OLE_LINK5"/>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（1）供应商应具备《中华人民共和国政府采购法》第二十二条规定的条件；</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1）有效</w:t>
      </w:r>
      <w:r>
        <w:rPr>
          <w:rFonts w:hint="eastAsia" w:asciiTheme="minorEastAsia" w:hAnsiTheme="minorEastAsia" w:eastAsiaTheme="minorEastAsia" w:cstheme="minorEastAsia"/>
          <w:color w:val="auto"/>
          <w:sz w:val="24"/>
          <w:szCs w:val="24"/>
          <w:highlight w:val="none"/>
        </w:rPr>
        <w:t>的企业法人营业执</w:t>
      </w:r>
      <w:r>
        <w:rPr>
          <w:rFonts w:hint="eastAsia" w:asciiTheme="minorEastAsia" w:hAnsiTheme="minorEastAsia" w:eastAsiaTheme="minorEastAsia" w:cstheme="minorEastAsia"/>
          <w:color w:val="auto"/>
          <w:sz w:val="24"/>
          <w:szCs w:val="24"/>
        </w:rPr>
        <w:t>照（或事业法人登记证）或者其他组织的营业执照复印件</w:t>
      </w:r>
      <w:r>
        <w:rPr>
          <w:rFonts w:hint="eastAsia" w:asciiTheme="minorEastAsia" w:hAnsiTheme="minorEastAsia" w:eastAsiaTheme="minorEastAsia" w:cstheme="minorEastAsia"/>
          <w:color w:val="auto"/>
          <w:kern w:val="0"/>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2）201</w:t>
      </w:r>
      <w:r>
        <w:rPr>
          <w:rFonts w:hint="eastAsia" w:asciiTheme="minorEastAsia" w:hAnsiTheme="minorEastAsia" w:eastAsiaTheme="minorEastAsia" w:cstheme="minorEastAsia"/>
          <w:color w:val="auto"/>
          <w:sz w:val="24"/>
          <w:szCs w:val="24"/>
          <w:lang w:val="en-US" w:eastAsia="zh-CN"/>
        </w:rPr>
        <w:t>7或2018</w:t>
      </w:r>
      <w:r>
        <w:rPr>
          <w:rFonts w:hint="eastAsia" w:asciiTheme="minorEastAsia" w:hAnsiTheme="minorEastAsia" w:eastAsiaTheme="minorEastAsia" w:cstheme="minorEastAsia"/>
          <w:color w:val="auto"/>
          <w:sz w:val="24"/>
          <w:szCs w:val="24"/>
        </w:rPr>
        <w:t>年财务状况报告复印件，其他组织或投标人新成立不足一年，提供银行出具的资信证明材料复印件；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 w:val="24"/>
          <w:szCs w:val="24"/>
          <w:lang w:val="en-US" w:eastAsia="zh-CN" w:bidi="ar"/>
        </w:rPr>
        <w:t>2019年01月至今任意连续</w:t>
      </w:r>
      <w:r>
        <w:rPr>
          <w:rFonts w:hint="eastAsia" w:asciiTheme="minorEastAsia" w:hAnsiTheme="minorEastAsia" w:eastAsiaTheme="minorEastAsia" w:cstheme="minorEastAsia"/>
          <w:color w:val="auto"/>
          <w:kern w:val="0"/>
          <w:sz w:val="24"/>
          <w:szCs w:val="24"/>
          <w:lang w:eastAsia="zh-CN" w:bidi="ar"/>
        </w:rPr>
        <w:t>三个月完税证明</w:t>
      </w:r>
      <w:r>
        <w:rPr>
          <w:rFonts w:hint="eastAsia" w:asciiTheme="minorEastAsia" w:hAnsiTheme="minorEastAsia" w:eastAsiaTheme="minorEastAsia" w:cstheme="minorEastAsia"/>
          <w:color w:val="auto"/>
          <w:sz w:val="24"/>
          <w:szCs w:val="24"/>
        </w:rPr>
        <w:t>材料复印件；如依法免税的，应提供相应文件证明其依法免税；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0"/>
          <w:sz w:val="24"/>
          <w:szCs w:val="24"/>
          <w:lang w:val="en-US" w:eastAsia="zh-CN" w:bidi="ar"/>
        </w:rPr>
        <w:t>2019年01月至今任意连续</w:t>
      </w:r>
      <w:r>
        <w:rPr>
          <w:rFonts w:hint="eastAsia" w:asciiTheme="minorEastAsia" w:hAnsiTheme="minorEastAsia" w:eastAsiaTheme="minorEastAsia" w:cstheme="minorEastAsia"/>
          <w:color w:val="auto"/>
          <w:kern w:val="0"/>
          <w:sz w:val="24"/>
          <w:szCs w:val="24"/>
          <w:lang w:eastAsia="zh-CN" w:bidi="ar"/>
        </w:rPr>
        <w:t>三个月</w:t>
      </w:r>
      <w:r>
        <w:rPr>
          <w:rFonts w:hint="eastAsia" w:asciiTheme="minorEastAsia" w:hAnsiTheme="minorEastAsia" w:eastAsiaTheme="minorEastAsia" w:cstheme="minorEastAsia"/>
          <w:color w:val="auto"/>
          <w:sz w:val="24"/>
          <w:szCs w:val="24"/>
        </w:rPr>
        <w:t>的缴纳社会保险的凭据证明材料复印件；如依法不需要缴纳社会保障资金的，应提供相应文件证明其依法不需要缴纳社会保障资金；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5）提供具有履行合同所必需的设备和专业技术能力的书面声明；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6）提供参加政府采购活动前3年内在经营活动中没有重大违法记录的书面声明。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）“信用中国”网站</w:t>
      </w:r>
      <w:r>
        <w:rPr>
          <w:rFonts w:hint="eastAsia" w:asciiTheme="minorEastAsia" w:hAnsiTheme="minorEastAsia" w:eastAsiaTheme="minorEastAsia" w:cstheme="minorEastAsia"/>
          <w:color w:val="auto"/>
          <w:sz w:val="24"/>
          <w:szCs w:val="24"/>
          <w:lang w:eastAsia="zh-CN"/>
        </w:rPr>
        <w:t>、“信用山东”及“</w:t>
      </w:r>
      <w:r>
        <w:rPr>
          <w:rFonts w:hint="eastAsia" w:asciiTheme="minorEastAsia" w:hAnsiTheme="minorEastAsia" w:eastAsiaTheme="minorEastAsia" w:cstheme="minorEastAsia"/>
          <w:color w:val="auto"/>
          <w:sz w:val="24"/>
          <w:szCs w:val="24"/>
        </w:rPr>
        <w:t>中国政府采购网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查询结果的截图；</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）需要提交的其它文件</w:t>
      </w:r>
      <w:bookmarkEnd w:id="11"/>
      <w:r>
        <w:rPr>
          <w:rFonts w:hint="eastAsia" w:asciiTheme="minorEastAsia" w:hAnsiTheme="minorEastAsia" w:eastAsiaTheme="minorEastAsia" w:cstheme="minorEastAsia"/>
          <w:color w:val="auto"/>
          <w:sz w:val="24"/>
          <w:szCs w:val="24"/>
        </w:rPr>
        <w:t>。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5.1.3 商务部分 </w:t>
      </w:r>
    </w:p>
    <w:p>
      <w:pPr>
        <w:numPr>
          <w:ilvl w:val="0"/>
          <w:numId w:val="3"/>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投标人基本情况表复印件（加盖公章）；</w:t>
      </w:r>
    </w:p>
    <w:p>
      <w:pPr>
        <w:numPr>
          <w:ilvl w:val="0"/>
          <w:numId w:val="3"/>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近三年完成的类似项目情况表复印件（加盖公章）；</w:t>
      </w:r>
    </w:p>
    <w:p>
      <w:pPr>
        <w:numPr>
          <w:ilvl w:val="0"/>
          <w:numId w:val="3"/>
        </w:numPr>
        <w:spacing w:line="360" w:lineRule="auto"/>
        <w:rPr>
          <w:rFonts w:hint="eastAsia" w:asciiTheme="minorEastAsia" w:hAnsiTheme="minorEastAsia" w:eastAsiaTheme="minorEastAsia" w:cstheme="minorEastAsia"/>
          <w:color w:val="auto"/>
          <w:sz w:val="24"/>
          <w:szCs w:val="24"/>
        </w:rPr>
      </w:pPr>
      <w:r>
        <w:rPr>
          <w:rFonts w:hint="eastAsia" w:ascii="宋体" w:hAnsi="宋体" w:cs="仿宋"/>
          <w:sz w:val="24"/>
          <w:szCs w:val="24"/>
        </w:rPr>
        <w:t>团队配置</w:t>
      </w:r>
      <w:r>
        <w:rPr>
          <w:rFonts w:hint="eastAsia" w:ascii="宋体" w:hAnsi="宋体" w:cs="仿宋"/>
          <w:sz w:val="24"/>
          <w:szCs w:val="24"/>
          <w:lang w:eastAsia="zh-CN"/>
        </w:rPr>
        <w:t>（</w:t>
      </w:r>
      <w:r>
        <w:rPr>
          <w:rFonts w:hint="eastAsia"/>
        </w:rPr>
        <w:t>本项目班子配备</w:t>
      </w:r>
      <w:r>
        <w:rPr>
          <w:rFonts w:hint="eastAsia"/>
          <w:lang w:eastAsia="zh-CN"/>
        </w:rPr>
        <w:t>）</w:t>
      </w:r>
      <w:r>
        <w:rPr>
          <w:rFonts w:hint="eastAsia"/>
        </w:rPr>
        <w:t>；</w:t>
      </w:r>
    </w:p>
    <w:p>
      <w:pPr>
        <w:pStyle w:val="21"/>
        <w:numPr>
          <w:ilvl w:val="0"/>
          <w:numId w:val="3"/>
        </w:numPr>
        <w:ind w:left="0" w:leftChars="0" w:firstLine="0" w:firstLineChars="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售后服务条款；</w:t>
      </w:r>
    </w:p>
    <w:p>
      <w:pPr>
        <w:pStyle w:val="21"/>
        <w:numPr>
          <w:ilvl w:val="0"/>
          <w:numId w:val="0"/>
        </w:numPr>
        <w:ind w:left="240" w:leftChars="0" w:hanging="240" w:hangingChars="1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(5）评分标准要求的有关证书及证明资料；</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 投标人认为需要说明的其他问题。</w:t>
      </w:r>
    </w:p>
    <w:p>
      <w:pPr>
        <w:spacing w:line="360" w:lineRule="auto"/>
        <w:rPr>
          <w:rFonts w:hint="eastAsia" w:asciiTheme="minorEastAsia" w:hAnsiTheme="minorEastAsia" w:eastAsiaTheme="minorEastAsia" w:cstheme="minorEastAsia"/>
          <w:b/>
          <w:bCs/>
          <w:color w:val="auto"/>
          <w:sz w:val="24"/>
          <w:szCs w:val="24"/>
        </w:rPr>
      </w:pPr>
      <w:bookmarkStart w:id="12" w:name="OLE_LINK19"/>
      <w:r>
        <w:rPr>
          <w:rFonts w:hint="eastAsia" w:asciiTheme="minorEastAsia" w:hAnsiTheme="minorEastAsia" w:eastAsiaTheme="minorEastAsia" w:cstheme="minorEastAsia"/>
          <w:b/>
          <w:bCs/>
          <w:color w:val="auto"/>
          <w:sz w:val="24"/>
          <w:szCs w:val="24"/>
        </w:rPr>
        <w:t>5.1.4 技术部分 </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宋体" w:hAnsi="宋体" w:cs="仿宋"/>
          <w:sz w:val="24"/>
          <w:szCs w:val="24"/>
        </w:rPr>
        <w:t>影片制作服务方案</w:t>
      </w:r>
      <w:r>
        <w:rPr>
          <w:rFonts w:hint="eastAsia" w:asciiTheme="minorEastAsia" w:hAnsiTheme="minorEastAsia" w:eastAsiaTheme="minorEastAsia" w:cstheme="minorEastAsia"/>
          <w:color w:val="auto"/>
          <w:sz w:val="24"/>
          <w:szCs w:val="24"/>
          <w:lang w:val="en-US" w:eastAsia="zh-CN"/>
        </w:rPr>
        <w:t>；</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宋体" w:hAnsi="宋体" w:cs="仿宋"/>
          <w:sz w:val="24"/>
          <w:szCs w:val="24"/>
        </w:rPr>
        <w:t>实施流程计划表，脚本方案，拍摄技术</w:t>
      </w:r>
      <w:r>
        <w:rPr>
          <w:rFonts w:hint="eastAsia" w:asciiTheme="minorEastAsia" w:hAnsiTheme="minorEastAsia" w:eastAsiaTheme="minorEastAsia" w:cstheme="minorEastAsia"/>
          <w:color w:val="auto"/>
          <w:sz w:val="24"/>
          <w:szCs w:val="24"/>
          <w:lang w:val="en-US" w:eastAsia="zh-CN"/>
        </w:rPr>
        <w:t>；</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宋体" w:hAnsi="宋体" w:cs="仿宋"/>
          <w:sz w:val="24"/>
          <w:szCs w:val="24"/>
        </w:rPr>
        <w:t>设备保障情况</w:t>
      </w:r>
      <w:r>
        <w:rPr>
          <w:rFonts w:hint="eastAsia" w:asciiTheme="minorEastAsia" w:hAnsiTheme="minorEastAsia" w:eastAsiaTheme="minorEastAsia" w:cstheme="minorEastAsia"/>
          <w:color w:val="auto"/>
          <w:sz w:val="24"/>
          <w:szCs w:val="24"/>
          <w:lang w:val="en-US" w:eastAsia="zh-CN"/>
        </w:rPr>
        <w:t>；</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r>
        <w:rPr>
          <w:rFonts w:ascii="宋体" w:hAnsi="宋体" w:cs="仿宋"/>
          <w:sz w:val="24"/>
          <w:szCs w:val="24"/>
        </w:rPr>
        <w:t>设计进度计划</w:t>
      </w:r>
      <w:r>
        <w:rPr>
          <w:rFonts w:hint="eastAsia" w:asciiTheme="minorEastAsia" w:hAnsiTheme="minorEastAsia" w:eastAsiaTheme="minorEastAsia" w:cstheme="minorEastAsia"/>
          <w:color w:val="auto"/>
          <w:sz w:val="24"/>
          <w:szCs w:val="24"/>
          <w:lang w:val="en-US" w:eastAsia="zh-CN"/>
        </w:rPr>
        <w:t>；</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(5)供应商认为应提供的其他内容。</w:t>
      </w:r>
    </w:p>
    <w:p>
      <w:pPr>
        <w:numPr>
          <w:ilvl w:val="0"/>
          <w:numId w:val="0"/>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6.投标报价 </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6.1</w:t>
      </w:r>
      <w:r>
        <w:rPr>
          <w:rFonts w:hint="eastAsia" w:ascii="宋体" w:hAnsi="宋体" w:cs="宋体"/>
          <w:bCs/>
          <w:color w:val="auto"/>
          <w:sz w:val="24"/>
        </w:rPr>
        <w:t>本次报价非一次性报价，报价币种为人民币。报价含主件、标准附件、备品备件、专用工具、检验、运输、保险及因购买货物和服务所需缴纳的所有税费等全部费用。</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6.2</w:t>
      </w:r>
      <w:r>
        <w:rPr>
          <w:rFonts w:hint="eastAsia" w:ascii="宋体" w:hAnsi="宋体" w:cs="宋体"/>
          <w:bCs/>
          <w:color w:val="auto"/>
          <w:sz w:val="24"/>
        </w:rPr>
        <w:t>除竞争性磋商文件另有规定外，响应文件中所使用的计量单位应使用中华人民共和国法定计量单位。</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6.3</w:t>
      </w:r>
      <w:r>
        <w:rPr>
          <w:rFonts w:hint="eastAsia" w:ascii="宋体" w:hAnsi="宋体" w:cs="宋体"/>
          <w:bCs/>
          <w:color w:val="auto"/>
          <w:sz w:val="24"/>
        </w:rPr>
        <w:t>成交供应商的最终报价为含税全包价（即交钥匙项目）</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6.4</w:t>
      </w:r>
      <w:r>
        <w:rPr>
          <w:rFonts w:hint="eastAsia" w:ascii="宋体" w:hAnsi="宋体" w:cs="宋体"/>
          <w:bCs/>
          <w:color w:val="auto"/>
          <w:sz w:val="24"/>
        </w:rPr>
        <w:t>供应商对报价若有说明应在报价一览表备注处注明。采购代理机构不接受可选择的报价方案和价格。任何有选择的或可调整的报价方案和价格将被视为非响应性报价而被拒绝。</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6.5</w:t>
      </w:r>
      <w:r>
        <w:rPr>
          <w:rFonts w:hint="eastAsia" w:ascii="宋体" w:hAnsi="宋体" w:cs="宋体"/>
          <w:bCs/>
          <w:color w:val="auto"/>
          <w:sz w:val="24"/>
        </w:rPr>
        <w:t>最终报价在合同执行过程中是固定不变的，不得以任何理由予以变更。</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6.6</w:t>
      </w:r>
      <w:r>
        <w:rPr>
          <w:rFonts w:hint="eastAsia" w:ascii="宋体" w:hAnsi="宋体" w:cs="宋体"/>
          <w:bCs/>
          <w:color w:val="auto"/>
          <w:sz w:val="24"/>
        </w:rPr>
        <w:t>供应商免费提供的项目，应先填写该项目的实际价格，并注明免费。此项不计入总报价。</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6.7</w:t>
      </w:r>
      <w:r>
        <w:rPr>
          <w:rFonts w:hint="eastAsia" w:ascii="宋体" w:hAnsi="宋体" w:cs="宋体"/>
          <w:bCs/>
          <w:color w:val="auto"/>
          <w:sz w:val="24"/>
        </w:rPr>
        <w:t>供应商无论中标与否，其参与投标所耗各项费用均由供应商自行承担。</w:t>
      </w:r>
    </w:p>
    <w:p>
      <w:pPr>
        <w:numPr>
          <w:ilvl w:val="0"/>
          <w:numId w:val="0"/>
        </w:numPr>
        <w:spacing w:line="360" w:lineRule="auto"/>
        <w:rPr>
          <w:rFonts w:hint="eastAsia" w:ascii="宋体" w:hAnsi="宋体" w:cs="宋体"/>
          <w:bCs/>
          <w:color w:val="auto"/>
          <w:sz w:val="24"/>
        </w:rPr>
      </w:pPr>
      <w:r>
        <w:rPr>
          <w:rFonts w:hint="eastAsia" w:ascii="宋体" w:hAnsi="宋体" w:cs="宋体"/>
          <w:b/>
          <w:bCs w:val="0"/>
          <w:color w:val="auto"/>
          <w:sz w:val="24"/>
        </w:rPr>
        <w:t>7.投标文件装订与编写</w:t>
      </w:r>
      <w:r>
        <w:rPr>
          <w:rFonts w:hint="eastAsia" w:ascii="宋体" w:hAnsi="宋体" w:cs="宋体"/>
          <w:bCs/>
          <w:color w:val="auto"/>
          <w:sz w:val="24"/>
        </w:rPr>
        <w:t>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7.1投标人必须将投标文件（一份正本、</w:t>
      </w:r>
      <w:r>
        <w:rPr>
          <w:rFonts w:hint="eastAsia" w:asciiTheme="minorEastAsia" w:hAnsiTheme="minorEastAsia" w:eastAsiaTheme="minorEastAsia" w:cstheme="minorEastAsia"/>
          <w:color w:val="auto"/>
          <w:sz w:val="24"/>
          <w:szCs w:val="24"/>
          <w:lang w:eastAsia="zh-CN"/>
        </w:rPr>
        <w:t>肆</w:t>
      </w:r>
      <w:r>
        <w:rPr>
          <w:rFonts w:hint="eastAsia" w:asciiTheme="minorEastAsia" w:hAnsiTheme="minorEastAsia" w:eastAsiaTheme="minorEastAsia" w:cstheme="minorEastAsia"/>
          <w:color w:val="auto"/>
          <w:sz w:val="24"/>
          <w:szCs w:val="24"/>
        </w:rPr>
        <w:t>份副本）中的有关文件按上述顺序排列胶装成册，并在首页编制“投标文件目录”。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7.2投标人应准备</w:t>
      </w:r>
      <w:r>
        <w:rPr>
          <w:rFonts w:hint="eastAsia" w:asciiTheme="minorEastAsia" w:hAnsiTheme="minorEastAsia" w:eastAsiaTheme="minorEastAsia" w:cstheme="minorEastAsia"/>
          <w:color w:val="auto"/>
          <w:sz w:val="24"/>
          <w:szCs w:val="24"/>
          <w:lang w:eastAsia="zh-CN"/>
        </w:rPr>
        <w:t>五</w:t>
      </w:r>
      <w:r>
        <w:rPr>
          <w:rFonts w:hint="eastAsia" w:asciiTheme="minorEastAsia" w:hAnsiTheme="minorEastAsia" w:eastAsiaTheme="minorEastAsia" w:cstheme="minorEastAsia"/>
          <w:color w:val="auto"/>
          <w:sz w:val="24"/>
          <w:szCs w:val="24"/>
        </w:rPr>
        <w:t>份投标文件，一份正本和</w:t>
      </w:r>
      <w:r>
        <w:rPr>
          <w:rFonts w:hint="eastAsia" w:asciiTheme="minorEastAsia" w:hAnsiTheme="minorEastAsia" w:eastAsiaTheme="minorEastAsia" w:cstheme="minorEastAsia"/>
          <w:color w:val="auto"/>
          <w:sz w:val="24"/>
          <w:szCs w:val="24"/>
          <w:lang w:eastAsia="zh-CN"/>
        </w:rPr>
        <w:t>肆</w:t>
      </w:r>
      <w:r>
        <w:rPr>
          <w:rFonts w:hint="eastAsia" w:asciiTheme="minorEastAsia" w:hAnsiTheme="minorEastAsia" w:eastAsiaTheme="minorEastAsia" w:cstheme="minorEastAsia"/>
          <w:color w:val="auto"/>
          <w:sz w:val="24"/>
          <w:szCs w:val="24"/>
        </w:rPr>
        <w:t>份副本。投标文件电子版一份（U盘）、单独密封的报价一览表三份。在每一份投标文件上要注明 “正本”或“副本”字样。投标人应保证投标文件正本与副本的内容严格一致，如果正本与副本不一致（投标人应自己承担责任），如果单独的报价一览表与报文件正本有差异，以报价一览表为准；投标文件中的报价一览表与投标文件中明细表内容不一致的，以报价一览表为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7.3投标文件正本和副本用A4幅面的纸张打印。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投标文件应严格按照投标文件的要求提交，并按规定的统一格式逐项填写，不准有空项；无相应内容可填的项应填写“无”、“没有相应指标”等明确的回答文字。投标文件未按规定提交或留有空项，将被视为不完整响应的投标文件，其投标有可能</w:t>
      </w:r>
      <w:bookmarkStart w:id="13" w:name="OLE_LINK21"/>
      <w:r>
        <w:rPr>
          <w:rFonts w:hint="eastAsia" w:asciiTheme="minorEastAsia" w:hAnsiTheme="minorEastAsia" w:eastAsiaTheme="minorEastAsia" w:cstheme="minorEastAsia"/>
          <w:color w:val="auto"/>
          <w:sz w:val="24"/>
          <w:szCs w:val="24"/>
        </w:rPr>
        <w:t>被拒绝。</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7.5因投标文件字迹潦草、模糊或表达不清所引起的不利后果由投标人承担。</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8.投标文件签署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8.1法定代表人或授权代理人必须按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规定在投标文件（正本、副本及各附件）、报价一览表上签字并加盖投标人单位公章，不得使用其它形式如带有“专用章”等字样的印章，否则投标将被视为无效。如投标人对投标文件进行了修改，则须由投标人的法定代表人或授权代理人在修改的每一页上签字或加盖公章。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8.2任何行间插字、涂改和增删，必须由投标人的法定代表人或授权代理人签字或加盖公章后才有效。 </w:t>
      </w:r>
    </w:p>
    <w:p>
      <w:pPr>
        <w:numPr>
          <w:ilvl w:val="0"/>
          <w:numId w:val="4"/>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语言及计量单位</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9.1投标人和</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代理机构就本项目交换的文件和来往信函，使用中文。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9.2除</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另有规定外，投标文件中所使用的计量单位应使用中华人民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共和国法定计量单位。</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 投标文件密封和标记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10.1投标人应将投标文件正副本、电子文档密封，并在封面明显处注明以下内容：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10.1.1项目编号、项目名称、</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10.1.2投标人名称（加盖公章）、地址、邮编、电话、传真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10.2为方便公开唱价，请投标人将三份“报价一览表”单独密封，并注明报价一览表，项目名称、项目编号、投标人名称（加盖公章），与投标文件同时提交。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10.3每一密封件在封口处加盖投标人公章并注明</w:t>
      </w:r>
      <w:r>
        <w:rPr>
          <w:rFonts w:hint="eastAsia" w:asciiTheme="minorEastAsia" w:hAnsiTheme="minorEastAsia" w:eastAsiaTheme="minorEastAsia" w:cstheme="minorEastAsia"/>
          <w:color w:val="auto"/>
          <w:sz w:val="24"/>
          <w:szCs w:val="24"/>
          <w:u w:val="single"/>
        </w:rPr>
        <w:t>“于 年 月 日 时之前不准启封”</w:t>
      </w:r>
      <w:r>
        <w:rPr>
          <w:rFonts w:hint="eastAsia" w:asciiTheme="minorEastAsia" w:hAnsiTheme="minorEastAsia" w:eastAsiaTheme="minorEastAsia" w:cstheme="minorEastAsia"/>
          <w:color w:val="auto"/>
          <w:sz w:val="24"/>
          <w:szCs w:val="24"/>
        </w:rPr>
        <w:t>字样。</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如果投标人未按上述要求对投标文件密封及加写标记，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代理机构对投标人提前启封概不负责。对由此造成提前开封的投标文件，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代理机构有权予以拒绝，并退回投标人。 </w:t>
      </w:r>
      <w:bookmarkEnd w:id="13"/>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四、投标文件的递交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11.1递交投标文件的地点和时间</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详见前附表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11.2投标人代表必须在投标截止时间前将投标文件送达指定地点。如因</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的修改推迟投标截止日期的，则按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代理机构通知规定的时间递交。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代理机构收到投标文件后，法定代表人或授权代表人在签到处进行签到。</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11.4电报、电话、传真、电子邮件等形式的投标文件概不接受。</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11.5对投标人提交的投标文件不予退还。</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12.迟交的投标文件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代理机构将拒绝接收在投标截止时间后送达的投标文件。</w:t>
      </w:r>
    </w:p>
    <w:p>
      <w:pPr>
        <w:numPr>
          <w:ilvl w:val="0"/>
          <w:numId w:val="5"/>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投标文件的修改、补充和撤回</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13.1投标人在</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要求提交投标文件的截止时间前，可以补充、修改或者撤回已提交的投标文件，并以书面形式通知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补充、修改的内容作为投标文件的组成部分。任何补充或修改的内容必须由投标人的法定代表人或其授权代表签字。经法定代表人或其授权代表正式签署的修改和补充文件组成投标文件的一部分，份数和密封要求同投标文件一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13.2投标文件的有效期为递交投标文件截止之日起90 日，投标人在有效期内不得撤回其投标文件。</w:t>
      </w:r>
    </w:p>
    <w:bookmarkEnd w:id="12"/>
    <w:p>
      <w:pPr>
        <w:spacing w:line="360" w:lineRule="auto"/>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14.投标保证金</w:t>
      </w:r>
    </w:p>
    <w:p>
      <w:pPr>
        <w:pStyle w:val="29"/>
        <w:spacing w:line="360" w:lineRule="auto"/>
        <w:ind w:firstLine="0" w:firstLineChars="0"/>
        <w:rPr>
          <w:rFonts w:hint="eastAsia" w:asciiTheme="minorEastAsia" w:hAnsiTheme="minorEastAsia" w:eastAsiaTheme="minorEastAsia" w:cstheme="minorEastAsia"/>
          <w:color w:val="auto"/>
          <w:spacing w:val="0"/>
          <w:kern w:val="2"/>
          <w:sz w:val="24"/>
          <w:szCs w:val="24"/>
          <w:lang w:val="en-US" w:eastAsia="zh-CN" w:bidi="ar-SA"/>
        </w:rPr>
      </w:pPr>
      <w:bookmarkStart w:id="14" w:name="_Toc14008"/>
      <w:bookmarkStart w:id="15" w:name="_Toc24213"/>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color w:val="auto"/>
          <w:spacing w:val="0"/>
          <w:kern w:val="2"/>
          <w:sz w:val="24"/>
          <w:szCs w:val="24"/>
          <w:lang w:val="en-US" w:eastAsia="zh-CN" w:bidi="ar-SA"/>
        </w:rPr>
        <w:t>无</w:t>
      </w:r>
    </w:p>
    <w:bookmarkEnd w:id="14"/>
    <w:bookmarkEnd w:id="15"/>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15.合格的投标人</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符合以下条件的投标人，为合格的投标人：</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（1）投标人资格要求：详见本项目</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公告及投标人须知前附表。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（2）本项目采用资格后审的审查方法确定合格投标人。</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16.投标有效期</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16.1从投标截止之日，递交投标文件截止之日起90 日。</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16.2特殊情况下，在投标有效期满之前，</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17.投标费用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17.1投标单位投标过程中的一切费用，不论中标与否，均自负，</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代理机构不负任何责任。</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代理服务费：本次的</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代理服务费由中标人向代理机构交纳。</w:t>
      </w:r>
    </w:p>
    <w:p>
      <w:pPr>
        <w:pStyle w:val="21"/>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17.3如果有律师见证的，中标供应商在签订合同前按成交金额的1‰向律师事务所交纳律师见证费。(不足500元的按500元收取)。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17.4上述费用包含在各投标人的投标报价中，综合考虑，不单独列支。</w:t>
      </w:r>
    </w:p>
    <w:p>
      <w:pPr>
        <w:numPr>
          <w:ilvl w:val="0"/>
          <w:numId w:val="6"/>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无效投标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（一）投标人有下列情况之一，其投标将被视为无效：</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18.1投标人未按规定提交投标保证金的。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18.2投标文件未按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的规定签署、胶装或密封的。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18.3唱标一览表未加盖本单位公章、法定代表人或授权代表未签字的。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18.4投标人对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的要求未做出实质性响应的。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18.5授权委托人或法定代表人不参加开标仪式及询标事宜的。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18.6投标人资格不符合</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要求提供资格、资质证明文件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18.7投标文件无法定代表人签字,或未提供法定代表人授权委托书、或者填写项目不齐全的。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18.8不符合</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中规定的其他实质性要求。</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18.9法律、法规规定的其他情况。</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（二）投标人有下列情况之一，其投标不仅被视为无效，而且</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人将严格按照相关法律、法规及规章制度的规定行使权利并没收其投标保证金。投标人给</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人和</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代理机构造成损失的，应予以赔偿：</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1.投标人在投标有效期内撤回投标。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2.投标人提供的有关资格、资质证明文件不真实或提供虚假投标材料的；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3.以他人名义投标或者以其他方式弄虚作假，骗取中标的。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成员提供不正当利益。</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5.在整个开标、评标过程中，投标人有企图影响评标结果公正性的任何活动或以任何方式诋毁其他投标人或串通投标的。</w:t>
      </w:r>
    </w:p>
    <w:p>
      <w:pPr>
        <w:numPr>
          <w:ilvl w:val="0"/>
          <w:numId w:val="7"/>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中标人在收到中标通知书后，无正当理由拒签合同协议书或未按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规定提交履约担保。</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7.中标人不按规定签订合同的。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8.法律、法规规定的其他情况。</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五、合同签订</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19.中标通知</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 确定中标人</w:t>
      </w:r>
      <w:r>
        <w:rPr>
          <w:rFonts w:hint="eastAsia" w:asciiTheme="minorEastAsia" w:hAnsiTheme="minorEastAsia" w:eastAsiaTheme="minorEastAsia" w:cstheme="minorEastAsia"/>
          <w:color w:val="auto"/>
          <w:sz w:val="24"/>
          <w:szCs w:val="24"/>
          <w:lang w:eastAsia="zh-CN"/>
        </w:rPr>
        <w:t>后</w:t>
      </w:r>
      <w:r>
        <w:rPr>
          <w:rFonts w:hint="eastAsia" w:asciiTheme="minorEastAsia" w:hAnsiTheme="minorEastAsia" w:eastAsiaTheme="minorEastAsia" w:cstheme="minorEastAsia"/>
          <w:color w:val="auto"/>
          <w:sz w:val="24"/>
          <w:szCs w:val="24"/>
        </w:rPr>
        <w:t>评标结果将在中国山东政府采购网</w:t>
      </w:r>
      <w:r>
        <w:rPr>
          <w:rFonts w:hint="eastAsia" w:asciiTheme="minorEastAsia" w:hAnsiTheme="minorEastAsia" w:eastAsiaTheme="minorEastAsia" w:cstheme="minorEastAsia"/>
          <w:color w:val="auto"/>
          <w:sz w:val="24"/>
          <w:szCs w:val="24"/>
          <w:lang w:eastAsia="zh-CN"/>
        </w:rPr>
        <w:t>、济南市历城区政府采购信息公开平台、</w:t>
      </w:r>
      <w:r>
        <w:rPr>
          <w:rFonts w:hint="eastAsia" w:asciiTheme="minorEastAsia" w:hAnsiTheme="minorEastAsia" w:eastAsiaTheme="minorEastAsia" w:cstheme="minorEastAsia"/>
          <w:color w:val="auto"/>
          <w:sz w:val="24"/>
          <w:szCs w:val="24"/>
        </w:rPr>
        <w:t>山东蓝盾</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代理有限公司，发布中标公告，不再以书面方式通知未中标人。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代理机构对未中标的投标人不作未中标原因的解释。</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 在投标有效期内，</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代理机构将向中标人签发《中标通知书》。中标通知书是合同的一个组成部分。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19.3 中标通知书发出后，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人改变成交结果，或者中标人放弃中标项目的，应当依法承担法律责任。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20. 签订合同</w:t>
      </w:r>
    </w:p>
    <w:p>
      <w:pPr>
        <w:spacing w:line="360" w:lineRule="auto"/>
        <w:ind w:left="600" w:hanging="600" w:hanging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 中标通知书发出之日起5个工作日内，按照</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确定的事项签订合同。</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20.2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、中标人的投标文件以及评标过程中的有关澄清、说明或者补正文件均为合同的组成部分。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20.3不按约定签订或履行合同，给对方造成损失的，应承担赔偿责任。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六、处罚和质疑</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21.1 处罚</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21.1.1 发生下列情况之一，投标人的投标保证金或履约保证金不予退还，并被列入不良记录名单，投标人今后参与同类政府采购项目的机会可能会受到影响：</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1)开标后在投标有效期内，投标人撤回其投标；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2)中标人未按本</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规定签订政府采购合同；</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3)中标人与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人订立背离合同实质性内容的其它协议；</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4)中标人不按要求提交履约保证金的；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5)中标人其它未按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规定和合同约定履行义务的行为。</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21.2质疑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1.投标人对采购活动事项有疑问的，可以向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代理机构提出询问，</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代理机构将依法作出答复，但答复的内容不涉及商业秘密。</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七、保密和披露</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 投标人自领取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之日起，须承担本采购项目下保密义务，不得将因本次采购获得的信息向第三人外传。</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22.2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代理机构有权将投标人提供的所有资料向其他政府部门或有关的非政府机构负责评审的人员或与评审有关的人员披露。</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 在下列情形下：当发布中标公告和其它公告时，当国家机关调查、审查、审计时，以及其他符合法律规定的情形下，无须事先征求投标人或中标人同意而可以披露关于采购过程、合同文本、签署情况的资料、投标人或中标人的名称及地址、采购内容的有关信息以及补充条款等。对任何已经公布过的内容或与之内容相同的资料无须再承担保密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八、解释权</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1.本次</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的最终解释权为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代理机构，当对一个问题有多种解释时以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代理机构的书面解释为准。</w:t>
      </w:r>
    </w:p>
    <w:p>
      <w:pPr>
        <w:spacing w:line="360" w:lineRule="auto"/>
        <w:rPr>
          <w:rFonts w:hint="eastAsia" w:ascii="宋体" w:hAnsi="宋体" w:eastAsia="宋体" w:cs="宋体"/>
          <w:b/>
          <w:bCs/>
          <w:color w:val="auto"/>
          <w:sz w:val="32"/>
          <w:szCs w:val="32"/>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未做明示，而又有相关法律、法规规定的，</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代理机构对此所做解释以相关的法律、法规的规定为依据。</w:t>
      </w:r>
      <w:bookmarkStart w:id="16" w:name="_Toc22087"/>
      <w:bookmarkStart w:id="17" w:name="_Toc3062"/>
      <w:bookmarkStart w:id="18" w:name="_Toc194484568"/>
      <w:bookmarkStart w:id="19" w:name="_Toc192343440"/>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九、政府采购政策</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政府采购优先采购节能产品和环境标志产品。节能产品是指列入财政部、国家发展和改革委员会制定的《节能产品政府采购清单》，且经过认定的节能产品。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环境标志产品是指财政部、国家环保总局制定的《环境标志产品政府采购清单》，且经过认证的环境标志产品。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《山东省节能环保产品政府采购评审办法 》 的规定，评标委员会在综合评审时将对符合条件的产品在满足基本技术条件的前提下，对技术和价格项目按下列规则给予一定幅度的加分。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在价格评标项中，对节能、环保产品分别给予价格评标总分值的 4％的加分，总计最高加评标价格总分值的 4%；</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“节能产品政府采购清单”优采加分：加分=价格评标总分值×4%×[所投“节能产品政府采购清单”（政府强制采购节能产品除外）中的产品价格在投标报价中所占比例]。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“环境标志产品政府采购清单” 优采加分：加分=价格评标总分值×4%×[所投“环境标志产品政府采购清单”中的产品价格在投标报价中所占比例]。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在技术评标项中，对节能、环保产品分别给予技术评标总分值的 4％的加分，总计最高加评标技术总分值的 4%；。</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“节能产品政府采购清单”优采加分：加分=技术评标总分值×4%×[所投“节能产品政府采购清单”（政府强制采购节能产品除外）中的产品技术在技术总分值中所占比例]。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“环境标志产品政府采购清单” 优采加分：加分=技术评标总分值×4%×[所投“环境标志产品政府采购清单”中的产品技术在技术总分值中所占比例]。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（三）如果投标人提供的产品部分为节能、环保产品(强制采购节能产品除外)，由评委在评标时依据节能、环保产品所占比重酌情给予加分，最高不超过价格评标总分值和技术评标总分值的 4%。</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投标人所投产品如属于财政部、国家发展和改革委员会制定的最新一期《节能、环保产品政府采购清单》中的产品，应在投标文件显著位置列出某项/某些产品属于节能产品，并列明节能产品的生产厂家及产品品牌、型号并附节能环保目录证明材料并加盖单位公章，否则不予认同；未按要求列明的，将不给予价格扣除的政策优惠；属于政府强制采购节能产品的，必须按照强制采购节能产品清单填报，否则按无效报价处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给予小型和微型企业价格扣除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1）给予小型和微型企业（包括相互之间组成的联合体）产品的价格6%的扣除；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计算方法是：最终价格＝投标报价×94%，按照最终价格计算其价格分得分。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开标时，投标人须提供《中小企业声明函》（详见附件），否则不给予价格扣除。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2 ）中型、小型、微型企业应当同时符合以下条件：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（1）依据财政部、工业和信息化部《政府采购促进中小企业发展暂行办法》（财库〔2011〕181 号）规定，参加政府采购活动的中小企业应当提供本办法规定的《中小企业 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（2）按照《关于印发中小企业划型标准规定的通知》（工信部联企业〔2011〕300 号）规定，投标人应符合中小企业划分标准；所称中小企业划分标准，是指国务院有关部门根据企业从业人员、营业收入、资产总额等指标制定的中小企业划型标准。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（3）提供本企业制造的货物、承担的工程或者服务，或者提供其他中小企业制造的货物。本项所称货物不包括使用大型企业注册商标的货物。</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（4）小型、微型企业提供中型企业制造的货物的，视同为中型企业。</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小型和微型企业提供的货物中含有中型及以上企业的产品或者大中型企业提供货物中含有小型、微型企业产品的，均不给予价格扣除。现场提供中小微企业证明原件、中小企业声明函原件，并在投标文件中放入复印件加盖公章及中小微企业证明材料，如财务报表等，否则评审时不予承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（6）评分得分非整数的保留小数点后两位（小数点后第三位数四舍五入）。</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监狱企业、残疾人福利单位参与政府采购活动，均视同小型、微型企业，享受国家优惠政策。如投标人为监狱企业，须提供省级以上监狱管理局、戒毒管理局（含新疆生产建设兵团）出具的属于监狱企业的证明文件原件，复印件放于报价文件中，否则评审时不予承认。</w:t>
      </w:r>
    </w:p>
    <w:p>
      <w:pPr>
        <w:spacing w:line="360" w:lineRule="auto"/>
        <w:rPr>
          <w:rFonts w:hint="eastAsia" w:ascii="宋体" w:hAnsi="宋体" w:eastAsia="宋体" w:cs="宋体"/>
          <w:b/>
          <w:bCs/>
          <w:color w:val="auto"/>
          <w:sz w:val="32"/>
          <w:szCs w:val="32"/>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sz w:val="24"/>
          <w:szCs w:val="24"/>
        </w:rPr>
        <w:t>注：评审价格仅为评定价格，不作为最终的成交价</w:t>
      </w:r>
    </w:p>
    <w:p>
      <w:pPr>
        <w:numPr>
          <w:ilvl w:val="0"/>
          <w:numId w:val="0"/>
        </w:numPr>
        <w:spacing w:line="360" w:lineRule="auto"/>
        <w:jc w:val="center"/>
        <w:outlineLvl w:val="0"/>
        <w:rPr>
          <w:rFonts w:hint="eastAsia" w:asciiTheme="majorEastAsia" w:hAnsiTheme="majorEastAsia" w:eastAsiaTheme="majorEastAsia" w:cstheme="majorEastAsia"/>
          <w:b/>
          <w:bCs/>
          <w:color w:val="auto"/>
          <w:sz w:val="32"/>
          <w:szCs w:val="32"/>
        </w:rPr>
      </w:pPr>
      <w:bookmarkStart w:id="20" w:name="_Toc3445"/>
      <w:r>
        <w:rPr>
          <w:rFonts w:hint="eastAsia" w:asciiTheme="majorEastAsia" w:hAnsiTheme="majorEastAsia" w:eastAsiaTheme="majorEastAsia" w:cstheme="majorEastAsia"/>
          <w:b/>
          <w:bCs/>
          <w:color w:val="auto"/>
          <w:sz w:val="32"/>
          <w:szCs w:val="32"/>
          <w:lang w:eastAsia="zh-CN"/>
        </w:rPr>
        <w:t>第三部分</w:t>
      </w:r>
      <w:r>
        <w:rPr>
          <w:rFonts w:hint="eastAsia" w:asciiTheme="majorEastAsia" w:hAnsiTheme="majorEastAsia" w:eastAsiaTheme="majorEastAsia" w:cstheme="majorEastAsia"/>
          <w:b/>
          <w:bCs/>
          <w:color w:val="auto"/>
          <w:sz w:val="32"/>
          <w:szCs w:val="32"/>
        </w:rPr>
        <w:t xml:space="preserve"> </w:t>
      </w:r>
      <w:bookmarkEnd w:id="16"/>
      <w:bookmarkEnd w:id="17"/>
      <w:bookmarkEnd w:id="18"/>
      <w:bookmarkEnd w:id="19"/>
      <w:r>
        <w:rPr>
          <w:rFonts w:hint="eastAsia" w:asciiTheme="majorEastAsia" w:hAnsiTheme="majorEastAsia" w:eastAsiaTheme="majorEastAsia" w:cstheme="majorEastAsia"/>
          <w:b/>
          <w:bCs/>
          <w:color w:val="auto"/>
          <w:sz w:val="32"/>
          <w:szCs w:val="32"/>
        </w:rPr>
        <w:t>项目概况及技术参数</w:t>
      </w:r>
      <w:bookmarkEnd w:id="20"/>
    </w:p>
    <w:p>
      <w:pPr>
        <w:pStyle w:val="30"/>
        <w:numPr>
          <w:ilvl w:val="0"/>
          <w:numId w:val="0"/>
        </w:numPr>
        <w:spacing w:line="360" w:lineRule="auto"/>
        <w:ind w:leftChars="0"/>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eastAsia="zh-CN"/>
        </w:rPr>
        <w:t>一、</w:t>
      </w:r>
      <w:r>
        <w:rPr>
          <w:rFonts w:hint="eastAsia" w:asciiTheme="minorEastAsia" w:hAnsiTheme="minorEastAsia" w:eastAsiaTheme="minorEastAsia" w:cstheme="minorEastAsia"/>
          <w:b/>
          <w:lang w:val="en-US" w:eastAsia="zh-CN"/>
        </w:rPr>
        <w:t xml:space="preserve">  </w:t>
      </w:r>
      <w:r>
        <w:rPr>
          <w:rFonts w:hint="eastAsia" w:asciiTheme="minorEastAsia" w:hAnsiTheme="minorEastAsia" w:eastAsiaTheme="minorEastAsia" w:cstheme="minorEastAsia"/>
          <w:b/>
        </w:rPr>
        <w:t>项目概况</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为加强法制宣传，增强检民的互动交流，树立新时代济南市历城区人民检察院的品牌形象，推动司法宣传工作进一步为人民服务。根据工作安排，拟组织济南市历城区人民检察院影视专题摄制工作，用于济南市历城区人民检察院的宣传推广，现分为六部影视专题进行。</w:t>
      </w:r>
    </w:p>
    <w:p>
      <w:pPr>
        <w:pStyle w:val="30"/>
        <w:numPr>
          <w:ilvl w:val="0"/>
          <w:numId w:val="0"/>
        </w:numPr>
        <w:spacing w:line="360" w:lineRule="auto"/>
        <w:ind w:leftChars="0"/>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eastAsia="zh-CN"/>
        </w:rPr>
        <w:t>二、</w:t>
      </w:r>
      <w:r>
        <w:rPr>
          <w:rFonts w:hint="eastAsia" w:asciiTheme="minorEastAsia" w:hAnsiTheme="minorEastAsia" w:eastAsiaTheme="minorEastAsia" w:cstheme="minorEastAsia"/>
          <w:b/>
        </w:rPr>
        <w:t>采购预算</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采购预算共计</w:t>
      </w:r>
      <w:r>
        <w:rPr>
          <w:rFonts w:hint="eastAsia" w:asciiTheme="minorEastAsia" w:hAnsiTheme="minorEastAsia" w:eastAsiaTheme="minorEastAsia" w:cstheme="minorEastAsia"/>
          <w:lang w:val="en-US" w:eastAsia="zh-CN"/>
        </w:rPr>
        <w:t>300000</w:t>
      </w:r>
      <w:r>
        <w:rPr>
          <w:rFonts w:hint="eastAsia" w:asciiTheme="minorEastAsia" w:hAnsiTheme="minorEastAsia" w:eastAsiaTheme="minorEastAsia" w:cstheme="minorEastAsia"/>
        </w:rPr>
        <w:t>元</w:t>
      </w:r>
    </w:p>
    <w:p>
      <w:pPr>
        <w:pStyle w:val="30"/>
        <w:numPr>
          <w:ilvl w:val="0"/>
          <w:numId w:val="0"/>
        </w:numPr>
        <w:spacing w:line="360" w:lineRule="auto"/>
        <w:ind w:leftChars="0"/>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eastAsia="zh-CN"/>
        </w:rPr>
        <w:t>三、</w:t>
      </w:r>
      <w:r>
        <w:rPr>
          <w:rFonts w:hint="eastAsia" w:asciiTheme="minorEastAsia" w:hAnsiTheme="minorEastAsia" w:eastAsiaTheme="minorEastAsia" w:cstheme="minorEastAsia"/>
          <w:b/>
        </w:rPr>
        <w:t>服务内容</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六部影视专题具体的要求如下：</w:t>
      </w:r>
    </w:p>
    <w:p>
      <w:pPr>
        <w:pStyle w:val="30"/>
        <w:numPr>
          <w:ilvl w:val="0"/>
          <w:numId w:val="8"/>
        </w:numPr>
        <w:spacing w:line="360" w:lineRule="auto"/>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优秀共产党员张洁模范形象片简介：</w:t>
      </w:r>
      <w:r>
        <w:rPr>
          <w:rFonts w:hint="eastAsia" w:asciiTheme="minorEastAsia" w:hAnsiTheme="minorEastAsia" w:eastAsiaTheme="minorEastAsia" w:cstheme="minorEastAsia"/>
        </w:rPr>
        <w:t>从张洁的个人从业经历、工作生活、典型检察工作案例等，展现新时代优秀党员的模范形象，全面、系统、客观、准确、立体展现检察官形象及检察文化，达到模范宣传的目的。</w:t>
      </w:r>
    </w:p>
    <w:p>
      <w:pPr>
        <w:pStyle w:val="30"/>
        <w:spacing w:line="360" w:lineRule="auto"/>
        <w:ind w:left="108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项目要求：</w:t>
      </w:r>
      <w:r>
        <w:rPr>
          <w:rFonts w:hint="eastAsia" w:asciiTheme="minorEastAsia" w:hAnsiTheme="minorEastAsia" w:eastAsiaTheme="minorEastAsia" w:cstheme="minorEastAsia"/>
        </w:rPr>
        <w:t>成立高水平的制作班底和主创团队；提供完整的视频拍摄脚本，本片时长为5分钟左右。</w:t>
      </w:r>
    </w:p>
    <w:p>
      <w:pPr>
        <w:pStyle w:val="30"/>
        <w:numPr>
          <w:ilvl w:val="0"/>
          <w:numId w:val="8"/>
        </w:numPr>
        <w:spacing w:line="360" w:lineRule="auto"/>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优秀共产党员宋烨模范形象片简介：</w:t>
      </w:r>
      <w:r>
        <w:rPr>
          <w:rFonts w:hint="eastAsia" w:asciiTheme="minorEastAsia" w:hAnsiTheme="minorEastAsia" w:eastAsiaTheme="minorEastAsia" w:cstheme="minorEastAsia"/>
        </w:rPr>
        <w:t>从宋烨的个人从业经历、工作生活、典型检察工作案例等，展现新时代优秀党员的模范形象，全面、系统、客观、准确、立体展现检察官形象及检察文化，达到模范宣传的目的。</w:t>
      </w:r>
    </w:p>
    <w:p>
      <w:pPr>
        <w:pStyle w:val="30"/>
        <w:spacing w:line="360" w:lineRule="auto"/>
        <w:ind w:left="108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项目要求：</w:t>
      </w:r>
      <w:r>
        <w:rPr>
          <w:rFonts w:hint="eastAsia" w:asciiTheme="minorEastAsia" w:hAnsiTheme="minorEastAsia" w:eastAsiaTheme="minorEastAsia" w:cstheme="minorEastAsia"/>
        </w:rPr>
        <w:t>成立高水平的制作班底和主创团队；提供完整的视频拍摄脚本，本片时长为5分钟左右。</w:t>
      </w:r>
    </w:p>
    <w:p>
      <w:pPr>
        <w:pStyle w:val="30"/>
        <w:numPr>
          <w:ilvl w:val="0"/>
          <w:numId w:val="8"/>
        </w:numPr>
        <w:spacing w:line="360" w:lineRule="auto"/>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2019全院工作展示汇报片简介：</w:t>
      </w:r>
      <w:r>
        <w:rPr>
          <w:rFonts w:hint="eastAsia" w:asciiTheme="minorEastAsia" w:hAnsiTheme="minorEastAsia" w:eastAsiaTheme="minorEastAsia" w:cstheme="minorEastAsia"/>
        </w:rPr>
        <w:t>以2019年济南市历城区人民检察院全年的工作为依托，全面展示全院本年度的工作内容，在片中展现历城区检察院的发展成果、地方贡献、重大业绩、荣誉、政策部署情况等。</w:t>
      </w:r>
    </w:p>
    <w:p>
      <w:pPr>
        <w:pStyle w:val="30"/>
        <w:spacing w:line="360" w:lineRule="auto"/>
        <w:ind w:left="108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项目要求：</w:t>
      </w:r>
      <w:r>
        <w:rPr>
          <w:rFonts w:hint="eastAsia" w:asciiTheme="minorEastAsia" w:hAnsiTheme="minorEastAsia" w:eastAsiaTheme="minorEastAsia" w:cstheme="minorEastAsia"/>
        </w:rPr>
        <w:t>提供完整的视频脚本，条理清晰，有务实的成果展示，能够完整地展示全院全年的工作内容。</w:t>
      </w:r>
    </w:p>
    <w:p>
      <w:pPr>
        <w:pStyle w:val="30"/>
        <w:numPr>
          <w:ilvl w:val="0"/>
          <w:numId w:val="8"/>
        </w:numPr>
        <w:spacing w:line="360" w:lineRule="auto"/>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不忘初心、牢记使命主题教育简介：</w:t>
      </w:r>
      <w:r>
        <w:rPr>
          <w:rFonts w:hint="eastAsia" w:asciiTheme="minorEastAsia" w:hAnsiTheme="minorEastAsia" w:eastAsiaTheme="minorEastAsia" w:cstheme="minorEastAsia"/>
        </w:rPr>
        <w:t>以2019年济南市历城区人民检察院举行的“不忘初心、牢记使命”主题教育为背景，重点展示主题教育中的过程、成果等。</w:t>
      </w:r>
    </w:p>
    <w:p>
      <w:pPr>
        <w:pStyle w:val="30"/>
        <w:spacing w:line="360" w:lineRule="auto"/>
        <w:ind w:left="108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项目要求：</w:t>
      </w:r>
      <w:r>
        <w:rPr>
          <w:rFonts w:hint="eastAsia" w:asciiTheme="minorEastAsia" w:hAnsiTheme="minorEastAsia" w:eastAsiaTheme="minorEastAsia" w:cstheme="minorEastAsia"/>
        </w:rPr>
        <w:t>提供完整的专题脚本，条理清晰，有务实的成果展示。</w:t>
      </w:r>
    </w:p>
    <w:p>
      <w:pPr>
        <w:pStyle w:val="30"/>
        <w:numPr>
          <w:ilvl w:val="0"/>
          <w:numId w:val="8"/>
        </w:numPr>
        <w:spacing w:line="360" w:lineRule="auto"/>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认罪认罚从宽制度微动漫简介：</w:t>
      </w:r>
      <w:r>
        <w:rPr>
          <w:rFonts w:hint="eastAsia" w:asciiTheme="minorEastAsia" w:hAnsiTheme="minorEastAsia" w:eastAsiaTheme="minorEastAsia" w:cstheme="minorEastAsia"/>
        </w:rPr>
        <w:t>为增强认罪认罚从宽意识，普及认罪认罚从宽制度的内容，高效推动检察工作的进行，制作认罪认罚从宽制度微动漫，用于看守所内播放使用。</w:t>
      </w:r>
    </w:p>
    <w:p>
      <w:pPr>
        <w:pStyle w:val="30"/>
        <w:spacing w:line="360" w:lineRule="auto"/>
        <w:ind w:left="108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项目要求：</w:t>
      </w:r>
      <w:r>
        <w:rPr>
          <w:rFonts w:hint="eastAsia" w:asciiTheme="minorEastAsia" w:hAnsiTheme="minorEastAsia" w:eastAsiaTheme="minorEastAsia" w:cstheme="minorEastAsia"/>
        </w:rPr>
        <w:t>将认罪认罚从宽制度讲明白，辅以真实案例，提供完整的动漫视频脚本；不宜过于严肃，旨在引导相关受众认罪认罚。</w:t>
      </w:r>
    </w:p>
    <w:p>
      <w:pPr>
        <w:pStyle w:val="30"/>
        <w:numPr>
          <w:ilvl w:val="0"/>
          <w:numId w:val="8"/>
        </w:numPr>
        <w:spacing w:line="360" w:lineRule="auto"/>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党建成果展示片简介：</w:t>
      </w:r>
      <w:r>
        <w:rPr>
          <w:rFonts w:hint="eastAsia" w:asciiTheme="minorEastAsia" w:hAnsiTheme="minorEastAsia" w:eastAsiaTheme="minorEastAsia" w:cstheme="minorEastAsia"/>
        </w:rPr>
        <w:t>为全面展示济南市历城区人民检察院的党建成果，展示检察院党建风采，交流检察院党建工作的好经验、好方法，推动党建工作的活动内容、方式、载体、机制等进行创新，切实增强党建工作的生机活力，以此为依托，拍摄制作本片。</w:t>
      </w:r>
    </w:p>
    <w:p>
      <w:pPr>
        <w:pStyle w:val="30"/>
        <w:spacing w:line="360" w:lineRule="auto"/>
        <w:ind w:left="108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
        </w:rPr>
        <w:t>项目要求：</w:t>
      </w:r>
      <w:r>
        <w:rPr>
          <w:rFonts w:hint="eastAsia" w:asciiTheme="minorEastAsia" w:hAnsiTheme="minorEastAsia" w:eastAsiaTheme="minorEastAsia" w:cstheme="minorEastAsia"/>
        </w:rPr>
        <w:t>提供完整的视频脚本，重点展示济南市历城区人民检察院的党建工作成果，可围绕一、二个主题，展示特色做法。</w:t>
      </w:r>
    </w:p>
    <w:p>
      <w:pPr>
        <w:pStyle w:val="30"/>
        <w:numPr>
          <w:ilvl w:val="0"/>
          <w:numId w:val="0"/>
        </w:numPr>
        <w:spacing w:line="360" w:lineRule="auto"/>
        <w:ind w:leftChars="0"/>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eastAsia="zh-CN"/>
        </w:rPr>
        <w:t>四、</w:t>
      </w:r>
      <w:r>
        <w:rPr>
          <w:rFonts w:hint="eastAsia" w:asciiTheme="minorEastAsia" w:hAnsiTheme="minorEastAsia" w:eastAsiaTheme="minorEastAsia" w:cstheme="minorEastAsia"/>
          <w:b/>
        </w:rPr>
        <w:t>项目要求：</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1.根据济南市历城区人民检察院的工作定制文学剧本。</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2.供应商提供的项目整体策划方案合理，可操作性较强，满足采购人需求、支持项目建设运行流程。</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3.供应商应详细编制制作方案，详细叙述质量保证措施，宣传片在网络、微信等新媒体推广效果达到一流水平。</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4.动画以二维动画为主,可辅助后期合成手段。</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5.宣传片提供案例脚本、案例分镜。</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6.完成的成片分辨率为1080P（或以上）,可输出各种较通用视频格式；动画格式为AVI、MPEG、MOV或MP4；25帧/秒；可输出各种通用的视频格式。</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8.有设施计划配档表，时间节点控制合理，各阶段任务目标明确，相应的工作内容和实施措施完备。</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10．成交供应商须无条件接受质量监督管理部门、委托单位的质量检查和管理，共同把好质量关。</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11．成交供应商的所有脚本方案须待采购人确认后方可进行创作。</w:t>
      </w:r>
    </w:p>
    <w:p>
      <w:pPr>
        <w:pStyle w:val="30"/>
        <w:numPr>
          <w:ilvl w:val="0"/>
          <w:numId w:val="0"/>
        </w:numPr>
        <w:spacing w:line="360" w:lineRule="auto"/>
        <w:ind w:leftChars="0"/>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eastAsia="zh-CN"/>
        </w:rPr>
        <w:t>五、</w:t>
      </w:r>
      <w:r>
        <w:rPr>
          <w:rFonts w:hint="eastAsia" w:asciiTheme="minorEastAsia" w:hAnsiTheme="minorEastAsia" w:eastAsiaTheme="minorEastAsia" w:cstheme="minorEastAsia"/>
          <w:b/>
          <w:lang w:val="en-US" w:eastAsia="zh-CN"/>
        </w:rPr>
        <w:t xml:space="preserve">  </w:t>
      </w:r>
      <w:r>
        <w:rPr>
          <w:rFonts w:hint="eastAsia" w:asciiTheme="minorEastAsia" w:hAnsiTheme="minorEastAsia" w:eastAsiaTheme="minorEastAsia" w:cstheme="minorEastAsia"/>
          <w:b/>
        </w:rPr>
        <w:t>技术标准</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为保证本项目建设质量，供应商应坚持高质量、高标准、牢固树立精品意识，严格遵循相关行业标准，达到以下技术标准：</w:t>
      </w:r>
    </w:p>
    <w:p>
      <w:pPr>
        <w:pStyle w:val="30"/>
        <w:numPr>
          <w:ilvl w:val="0"/>
          <w:numId w:val="9"/>
        </w:numPr>
        <w:spacing w:line="360" w:lineRule="auto"/>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本项目的视频成果要求达到全高清标准，视频分辨率不低于1920×1080。</w:t>
      </w:r>
    </w:p>
    <w:p>
      <w:pPr>
        <w:pStyle w:val="30"/>
        <w:numPr>
          <w:ilvl w:val="0"/>
          <w:numId w:val="9"/>
        </w:numPr>
        <w:spacing w:line="360" w:lineRule="auto"/>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视频编目标准按照宣传片、纪录片、电影、微视频等相关行业标准进行建设。</w:t>
      </w:r>
    </w:p>
    <w:p>
      <w:pPr>
        <w:pStyle w:val="30"/>
        <w:numPr>
          <w:ilvl w:val="0"/>
          <w:numId w:val="9"/>
        </w:numPr>
        <w:spacing w:line="360" w:lineRule="auto"/>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资源建设应避免重复、冗长。</w:t>
      </w:r>
    </w:p>
    <w:p>
      <w:pPr>
        <w:pStyle w:val="30"/>
        <w:numPr>
          <w:ilvl w:val="0"/>
          <w:numId w:val="9"/>
        </w:numPr>
        <w:spacing w:line="360" w:lineRule="auto"/>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其他类型资源建设相关标准规范，参照相关行业通行的标准规范执行。</w:t>
      </w:r>
    </w:p>
    <w:p>
      <w:pPr>
        <w:pStyle w:val="30"/>
        <w:numPr>
          <w:ilvl w:val="0"/>
          <w:numId w:val="0"/>
        </w:numPr>
        <w:spacing w:line="360" w:lineRule="auto"/>
        <w:ind w:leftChars="0"/>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eastAsia="zh-CN"/>
        </w:rPr>
        <w:t>六、</w:t>
      </w:r>
      <w:r>
        <w:rPr>
          <w:rFonts w:hint="eastAsia" w:asciiTheme="minorEastAsia" w:hAnsiTheme="minorEastAsia" w:eastAsiaTheme="minorEastAsia" w:cstheme="minorEastAsia"/>
          <w:b/>
        </w:rPr>
        <w:t>版权说明</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1、该项目为自主建设项目，成果的版权为济南市历城区人民检察院所有，可在全国范围内提供服务。</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2、建设过程中整合的资源素材应妥善解决在本项目成果中使用的版权，确保项目成果提供服务时，无需再向其他单位获取版权。</w:t>
      </w:r>
    </w:p>
    <w:p>
      <w:pPr>
        <w:pStyle w:val="30"/>
        <w:spacing w:line="360" w:lineRule="auto"/>
        <w:ind w:left="72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3、资源素材版权费涵盖文字、图片、视频、音乐素材版权费，须解决纪录片中所需引用素材的版权费用。</w:t>
      </w:r>
    </w:p>
    <w:p>
      <w:pPr>
        <w:pStyle w:val="2"/>
        <w:rPr>
          <w:rFonts w:hint="eastAsia"/>
          <w:lang w:eastAsia="zh-CN"/>
        </w:rPr>
      </w:pPr>
    </w:p>
    <w:p/>
    <w:p>
      <w:pPr>
        <w:pStyle w:val="3"/>
        <w:rPr>
          <w:rStyle w:val="40"/>
          <w:rFonts w:hint="eastAsia" w:ascii="宋体" w:hAnsi="宋体" w:eastAsia="宋体"/>
          <w:lang w:eastAsia="zh-CN"/>
        </w:rPr>
      </w:pPr>
    </w:p>
    <w:p>
      <w:pPr>
        <w:pStyle w:val="3"/>
        <w:spacing w:line="360" w:lineRule="auto"/>
        <w:rPr>
          <w:rStyle w:val="40"/>
          <w:rFonts w:hint="eastAsia" w:asciiTheme="minorEastAsia" w:hAnsiTheme="minorEastAsia" w:eastAsiaTheme="minorEastAsia" w:cstheme="minorEastAsia"/>
          <w:sz w:val="24"/>
          <w:szCs w:val="24"/>
          <w:lang w:eastAsia="zh-CN"/>
        </w:rPr>
      </w:pPr>
    </w:p>
    <w:p>
      <w:pPr>
        <w:pStyle w:val="21"/>
        <w:rPr>
          <w:rFonts w:hint="eastAsia" w:asciiTheme="minorEastAsia" w:hAnsiTheme="minorEastAsia" w:eastAsiaTheme="minorEastAsia" w:cstheme="minorEastAsia"/>
          <w:b w:val="0"/>
          <w:bCs w:val="0"/>
          <w:color w:val="auto"/>
          <w:sz w:val="24"/>
          <w:szCs w:val="24"/>
          <w:lang w:val="en-US" w:eastAsia="zh-CN"/>
        </w:rPr>
      </w:pPr>
    </w:p>
    <w:p>
      <w:pPr>
        <w:pStyle w:val="21"/>
        <w:rPr>
          <w:rFonts w:hint="eastAsia" w:asciiTheme="minorEastAsia" w:hAnsiTheme="minorEastAsia" w:eastAsiaTheme="minorEastAsia" w:cstheme="minorEastAsia"/>
          <w:b w:val="0"/>
          <w:bCs w:val="0"/>
          <w:color w:val="auto"/>
          <w:sz w:val="24"/>
          <w:szCs w:val="24"/>
          <w:lang w:val="en-US" w:eastAsia="zh-CN"/>
        </w:rPr>
      </w:pPr>
    </w:p>
    <w:p>
      <w:pPr>
        <w:pStyle w:val="21"/>
        <w:rPr>
          <w:rFonts w:hint="eastAsia" w:asciiTheme="minorEastAsia" w:hAnsiTheme="minorEastAsia" w:eastAsiaTheme="minorEastAsia" w:cstheme="minorEastAsia"/>
          <w:b w:val="0"/>
          <w:bCs w:val="0"/>
          <w:color w:val="auto"/>
          <w:sz w:val="24"/>
          <w:szCs w:val="24"/>
          <w:lang w:val="en-US" w:eastAsia="zh-CN"/>
        </w:rPr>
      </w:pPr>
    </w:p>
    <w:p>
      <w:pPr>
        <w:pStyle w:val="21"/>
        <w:rPr>
          <w:rFonts w:hint="eastAsia" w:asciiTheme="minorEastAsia" w:hAnsiTheme="minorEastAsia" w:eastAsiaTheme="minorEastAsia" w:cstheme="minorEastAsia"/>
          <w:b w:val="0"/>
          <w:bCs w:val="0"/>
          <w:color w:val="auto"/>
          <w:sz w:val="24"/>
          <w:szCs w:val="24"/>
          <w:lang w:val="en-US" w:eastAsia="zh-CN"/>
        </w:rPr>
      </w:pPr>
    </w:p>
    <w:p>
      <w:pPr>
        <w:pStyle w:val="21"/>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21"/>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21"/>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21"/>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21"/>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21"/>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spacing w:line="480" w:lineRule="auto"/>
        <w:jc w:val="center"/>
        <w:outlineLvl w:val="0"/>
        <w:rPr>
          <w:rFonts w:hint="eastAsia" w:asciiTheme="majorEastAsia" w:hAnsiTheme="majorEastAsia" w:eastAsiaTheme="majorEastAsia" w:cstheme="majorEastAsia"/>
          <w:b/>
          <w:bCs/>
          <w:color w:val="auto"/>
          <w:sz w:val="32"/>
          <w:szCs w:val="32"/>
        </w:rPr>
      </w:pPr>
      <w:bookmarkStart w:id="21" w:name="_Toc30400"/>
      <w:r>
        <w:rPr>
          <w:rFonts w:hint="eastAsia" w:asciiTheme="majorEastAsia" w:hAnsiTheme="majorEastAsia" w:eastAsiaTheme="majorEastAsia" w:cstheme="majorEastAsia"/>
          <w:b/>
          <w:bCs/>
          <w:color w:val="auto"/>
          <w:sz w:val="32"/>
          <w:szCs w:val="32"/>
        </w:rPr>
        <w:t>第四部分 开标、评标、定标</w:t>
      </w:r>
      <w:bookmarkEnd w:id="21"/>
    </w:p>
    <w:p>
      <w:pPr>
        <w:pStyle w:val="31"/>
        <w:spacing w:line="600" w:lineRule="atLeast"/>
        <w:outlineLvl w:val="9"/>
        <w:rPr>
          <w:rFonts w:hint="eastAsia" w:asciiTheme="minorEastAsia" w:hAnsiTheme="minorEastAsia" w:eastAsiaTheme="minorEastAsia" w:cstheme="minorEastAsia"/>
          <w:color w:val="auto"/>
          <w:sz w:val="24"/>
          <w:szCs w:val="24"/>
        </w:rPr>
      </w:pPr>
      <w:bookmarkStart w:id="22" w:name="_Toc24193"/>
      <w:bookmarkStart w:id="23" w:name="_Toc426379371"/>
      <w:bookmarkStart w:id="24" w:name="_Toc426379919"/>
      <w:r>
        <w:rPr>
          <w:rFonts w:hint="eastAsia" w:asciiTheme="minorEastAsia" w:hAnsiTheme="minorEastAsia" w:eastAsiaTheme="minorEastAsia" w:cstheme="minorEastAsia"/>
          <w:b/>
          <w:color w:val="auto"/>
          <w:sz w:val="28"/>
          <w:szCs w:val="28"/>
        </w:rPr>
        <w:t>一、</w:t>
      </w:r>
      <w:r>
        <w:rPr>
          <w:rFonts w:hint="eastAsia" w:asciiTheme="minorEastAsia" w:hAnsiTheme="minorEastAsia" w:eastAsiaTheme="minorEastAsia" w:cstheme="minorEastAsia"/>
          <w:b/>
          <w:color w:val="auto"/>
          <w:sz w:val="24"/>
          <w:szCs w:val="24"/>
        </w:rPr>
        <w:t>投标文件的递交及开标仪式</w:t>
      </w:r>
      <w:bookmarkEnd w:id="22"/>
      <w:bookmarkEnd w:id="23"/>
      <w:bookmarkEnd w:id="24"/>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1.投标文件递交时间、地点：</w:t>
      </w:r>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时间：详见前附表</w:t>
      </w:r>
      <w:r>
        <w:rPr>
          <w:rFonts w:hint="eastAsia" w:asciiTheme="minorEastAsia" w:hAnsiTheme="minorEastAsia" w:eastAsiaTheme="minorEastAsia" w:cstheme="minorEastAsia"/>
          <w:color w:val="auto"/>
        </w:rPr>
        <w:t xml:space="preserve"> </w:t>
      </w:r>
    </w:p>
    <w:p>
      <w:pPr>
        <w:pStyle w:val="29"/>
        <w:spacing w:line="360" w:lineRule="auto"/>
        <w:ind w:firstLine="0" w:firstLineChars="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  地点：</w:t>
      </w:r>
      <w:r>
        <w:rPr>
          <w:rFonts w:hint="eastAsia" w:asciiTheme="minorEastAsia" w:hAnsiTheme="minorEastAsia" w:eastAsiaTheme="minorEastAsia" w:cstheme="minorEastAsia"/>
          <w:color w:val="auto"/>
          <w:lang w:val="zh-CN"/>
        </w:rPr>
        <w:t>详见前附表</w:t>
      </w:r>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2.开标时间、地点</w:t>
      </w:r>
    </w:p>
    <w:p>
      <w:pPr>
        <w:pStyle w:val="29"/>
        <w:spacing w:line="360" w:lineRule="auto"/>
        <w:ind w:firstLine="0" w:firstLineChars="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时间</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zh-CN"/>
        </w:rPr>
        <w:t>详见前附表</w:t>
      </w:r>
    </w:p>
    <w:p>
      <w:pPr>
        <w:pStyle w:val="29"/>
        <w:spacing w:line="360" w:lineRule="auto"/>
        <w:ind w:firstLine="0" w:firstLineChars="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 xml:space="preserve">  地点：</w:t>
      </w:r>
      <w:r>
        <w:rPr>
          <w:rFonts w:hint="eastAsia" w:asciiTheme="minorEastAsia" w:hAnsiTheme="minorEastAsia" w:eastAsiaTheme="minorEastAsia" w:cstheme="minorEastAsia"/>
          <w:color w:val="auto"/>
          <w:lang w:val="zh-CN"/>
        </w:rPr>
        <w:t>详见前附表</w:t>
      </w:r>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eastAsia="zh-CN"/>
        </w:rPr>
        <w:t>招标</w:t>
      </w:r>
      <w:r>
        <w:rPr>
          <w:rFonts w:hint="eastAsia" w:asciiTheme="minorEastAsia" w:hAnsiTheme="minorEastAsia" w:eastAsiaTheme="minorEastAsia" w:cstheme="minorEastAsia"/>
          <w:color w:val="auto"/>
        </w:rPr>
        <w:t>代理机构组织投标文件的递交，递交投标文件的投标人代表应签字确认。</w:t>
      </w:r>
    </w:p>
    <w:p>
      <w:pPr>
        <w:spacing w:line="360" w:lineRule="auto"/>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4.见证律师对各投标人提交的投标文件密封情况按签到顺序进行检查，并当场宣布检查结果。</w:t>
      </w:r>
    </w:p>
    <w:p>
      <w:pPr>
        <w:spacing w:line="360" w:lineRule="auto"/>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5.唱标：工作人员当众按投标人的签到顺序开启唱标一览表，唱标员宣读投标人名称、投标报价等主要内容，法定代表人或其授权代表现场签字确认。</w:t>
      </w:r>
    </w:p>
    <w:p>
      <w:pPr>
        <w:spacing w:line="360" w:lineRule="auto"/>
        <w:rPr>
          <w:rFonts w:hint="eastAsia" w:asciiTheme="minorEastAsia" w:hAnsiTheme="minorEastAsia" w:eastAsiaTheme="minorEastAsia" w:cstheme="minorEastAsia"/>
          <w:b/>
          <w:bCs/>
          <w:color w:val="auto"/>
          <w:spacing w:val="6"/>
          <w:sz w:val="24"/>
        </w:rPr>
      </w:pPr>
      <w:r>
        <w:rPr>
          <w:rFonts w:hint="eastAsia" w:asciiTheme="minorEastAsia" w:hAnsiTheme="minorEastAsia" w:eastAsiaTheme="minorEastAsia" w:cstheme="minorEastAsia"/>
          <w:color w:val="auto"/>
          <w:spacing w:val="6"/>
          <w:sz w:val="24"/>
        </w:rPr>
        <w:t>6.开标会议结束后，</w:t>
      </w:r>
      <w:r>
        <w:rPr>
          <w:rFonts w:hint="eastAsia" w:asciiTheme="minorEastAsia" w:hAnsiTheme="minorEastAsia" w:eastAsiaTheme="minorEastAsia" w:cstheme="minorEastAsia"/>
          <w:color w:val="auto"/>
          <w:spacing w:val="6"/>
          <w:sz w:val="24"/>
          <w:lang w:eastAsia="zh-CN"/>
        </w:rPr>
        <w:t>评审小组</w:t>
      </w:r>
      <w:r>
        <w:rPr>
          <w:rFonts w:hint="eastAsia" w:asciiTheme="minorEastAsia" w:hAnsiTheme="minorEastAsia" w:eastAsiaTheme="minorEastAsia" w:cstheme="minorEastAsia"/>
          <w:color w:val="auto"/>
          <w:spacing w:val="6"/>
          <w:sz w:val="24"/>
        </w:rPr>
        <w:t>对投标人的相关资格证书进行审验。</w:t>
      </w:r>
      <w:r>
        <w:rPr>
          <w:rFonts w:hint="eastAsia" w:asciiTheme="minorEastAsia" w:hAnsiTheme="minorEastAsia" w:eastAsiaTheme="minorEastAsia" w:cstheme="minorEastAsia"/>
          <w:b/>
          <w:bCs/>
          <w:color w:val="auto"/>
          <w:spacing w:val="6"/>
          <w:sz w:val="24"/>
        </w:rPr>
        <w:t>（开标现场以下文件需与投标文件一同递交，否则视为自动放弃投标资格）</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1）有效</w:t>
      </w:r>
      <w:r>
        <w:rPr>
          <w:rFonts w:hint="eastAsia" w:asciiTheme="minorEastAsia" w:hAnsiTheme="minorEastAsia" w:eastAsiaTheme="minorEastAsia" w:cstheme="minorEastAsia"/>
          <w:color w:val="auto"/>
          <w:sz w:val="24"/>
          <w:szCs w:val="24"/>
          <w:highlight w:val="none"/>
        </w:rPr>
        <w:t>的企业法人营业执</w:t>
      </w:r>
      <w:r>
        <w:rPr>
          <w:rFonts w:hint="eastAsia" w:asciiTheme="minorEastAsia" w:hAnsiTheme="minorEastAsia" w:eastAsiaTheme="minorEastAsia" w:cstheme="minorEastAsia"/>
          <w:color w:val="auto"/>
          <w:sz w:val="24"/>
          <w:szCs w:val="24"/>
        </w:rPr>
        <w:t>照（或事业法人登记证）或者其他组织的营业执照复印件</w:t>
      </w:r>
      <w:r>
        <w:rPr>
          <w:rFonts w:hint="eastAsia" w:asciiTheme="minorEastAsia" w:hAnsiTheme="minorEastAsia" w:eastAsiaTheme="minorEastAsia" w:cstheme="minorEastAsia"/>
          <w:color w:val="auto"/>
          <w:kern w:val="0"/>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2）201</w:t>
      </w:r>
      <w:r>
        <w:rPr>
          <w:rFonts w:hint="eastAsia" w:asciiTheme="minorEastAsia" w:hAnsiTheme="minorEastAsia" w:eastAsiaTheme="minorEastAsia" w:cstheme="minorEastAsia"/>
          <w:color w:val="auto"/>
          <w:sz w:val="24"/>
          <w:szCs w:val="24"/>
          <w:lang w:val="en-US" w:eastAsia="zh-CN"/>
        </w:rPr>
        <w:t>7或2018</w:t>
      </w:r>
      <w:r>
        <w:rPr>
          <w:rFonts w:hint="eastAsia" w:asciiTheme="minorEastAsia" w:hAnsiTheme="minorEastAsia" w:eastAsiaTheme="minorEastAsia" w:cstheme="minorEastAsia"/>
          <w:color w:val="auto"/>
          <w:sz w:val="24"/>
          <w:szCs w:val="24"/>
        </w:rPr>
        <w:t>年财务状况报告复印件，其他组织或投标人新成立不足一年，提供银行出具的资信证明材料复印件；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 w:val="24"/>
          <w:szCs w:val="24"/>
          <w:lang w:val="en-US" w:eastAsia="zh-CN" w:bidi="ar"/>
        </w:rPr>
        <w:t>2019年01月至今任意连续</w:t>
      </w:r>
      <w:r>
        <w:rPr>
          <w:rFonts w:hint="eastAsia" w:asciiTheme="minorEastAsia" w:hAnsiTheme="minorEastAsia" w:eastAsiaTheme="minorEastAsia" w:cstheme="minorEastAsia"/>
          <w:color w:val="auto"/>
          <w:kern w:val="0"/>
          <w:sz w:val="24"/>
          <w:szCs w:val="24"/>
          <w:lang w:eastAsia="zh-CN" w:bidi="ar"/>
        </w:rPr>
        <w:t>三个月完税证明</w:t>
      </w:r>
      <w:r>
        <w:rPr>
          <w:rFonts w:hint="eastAsia" w:asciiTheme="minorEastAsia" w:hAnsiTheme="minorEastAsia" w:eastAsiaTheme="minorEastAsia" w:cstheme="minorEastAsia"/>
          <w:color w:val="auto"/>
          <w:sz w:val="24"/>
          <w:szCs w:val="24"/>
        </w:rPr>
        <w:t>材料复印件；如依法免税的，应提供相应文件证明其依法免税；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0"/>
          <w:sz w:val="24"/>
          <w:szCs w:val="24"/>
          <w:lang w:val="en-US" w:eastAsia="zh-CN" w:bidi="ar"/>
        </w:rPr>
        <w:t>2019年01月至今任意连续</w:t>
      </w:r>
      <w:r>
        <w:rPr>
          <w:rFonts w:hint="eastAsia" w:asciiTheme="minorEastAsia" w:hAnsiTheme="minorEastAsia" w:eastAsiaTheme="minorEastAsia" w:cstheme="minorEastAsia"/>
          <w:color w:val="auto"/>
          <w:kern w:val="0"/>
          <w:sz w:val="24"/>
          <w:szCs w:val="24"/>
          <w:lang w:eastAsia="zh-CN" w:bidi="ar"/>
        </w:rPr>
        <w:t>三个月</w:t>
      </w:r>
      <w:r>
        <w:rPr>
          <w:rFonts w:hint="eastAsia" w:asciiTheme="minorEastAsia" w:hAnsiTheme="minorEastAsia" w:eastAsiaTheme="minorEastAsia" w:cstheme="minorEastAsia"/>
          <w:color w:val="auto"/>
          <w:sz w:val="24"/>
          <w:szCs w:val="24"/>
        </w:rPr>
        <w:t>的缴纳社会保险的凭据证明材料复印件；如依法不需要缴纳社会保障资金的，应提供相应文件证明其依法不需要缴纳社会保障资金；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5）提供具有履行合同所必需的设备和专业技术能力的书面声明；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6）提供参加政府采购活动前3年内在经营活动中没有重大违法记录的书面声明。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）“信用中国”网站</w:t>
      </w:r>
      <w:r>
        <w:rPr>
          <w:rFonts w:hint="eastAsia" w:asciiTheme="minorEastAsia" w:hAnsiTheme="minorEastAsia" w:eastAsiaTheme="minorEastAsia" w:cstheme="minorEastAsia"/>
          <w:color w:val="auto"/>
          <w:sz w:val="24"/>
          <w:szCs w:val="24"/>
          <w:lang w:eastAsia="zh-CN"/>
        </w:rPr>
        <w:t>、“信用山东”及“</w:t>
      </w:r>
      <w:r>
        <w:rPr>
          <w:rFonts w:hint="eastAsia" w:asciiTheme="minorEastAsia" w:hAnsiTheme="minorEastAsia" w:eastAsiaTheme="minorEastAsia" w:cstheme="minorEastAsia"/>
          <w:color w:val="auto"/>
          <w:sz w:val="24"/>
          <w:szCs w:val="24"/>
        </w:rPr>
        <w:t>中国政府采购网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查询结果的截图；</w:t>
      </w:r>
    </w:p>
    <w:p>
      <w:pPr>
        <w:widowControl/>
        <w:spacing w:line="360" w:lineRule="auto"/>
        <w:jc w:val="left"/>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
          <w:bCs/>
          <w:color w:val="auto"/>
          <w:spacing w:val="6"/>
          <w:sz w:val="24"/>
          <w:highlight w:val="none"/>
          <w:lang w:val="en-US" w:eastAsia="zh-CN"/>
        </w:rPr>
        <w:t>8）</w:t>
      </w:r>
      <w:r>
        <w:rPr>
          <w:rFonts w:hint="eastAsia" w:asciiTheme="minorEastAsia" w:hAnsiTheme="minorEastAsia" w:eastAsiaTheme="minorEastAsia" w:cstheme="minorEastAsia"/>
          <w:color w:val="auto"/>
          <w:kern w:val="0"/>
          <w:sz w:val="24"/>
          <w:highlight w:val="none"/>
          <w:lang w:bidi="ar"/>
        </w:rPr>
        <w:t>法人授权委托书及受委托人身份证。</w:t>
      </w:r>
    </w:p>
    <w:p>
      <w:pPr>
        <w:widowControl/>
        <w:spacing w:line="360" w:lineRule="auto"/>
        <w:jc w:val="left"/>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bCs/>
          <w:color w:val="auto"/>
          <w:spacing w:val="6"/>
          <w:sz w:val="24"/>
          <w:highlight w:val="none"/>
        </w:rPr>
        <w:t>以上</w:t>
      </w:r>
      <w:r>
        <w:rPr>
          <w:rFonts w:hint="eastAsia" w:asciiTheme="minorEastAsia" w:hAnsiTheme="minorEastAsia" w:eastAsiaTheme="minorEastAsia" w:cstheme="minorEastAsia"/>
          <w:b/>
          <w:bCs/>
          <w:color w:val="auto"/>
          <w:spacing w:val="6"/>
          <w:sz w:val="24"/>
          <w:highlight w:val="none"/>
          <w:lang w:val="en-US" w:eastAsia="zh-CN"/>
        </w:rPr>
        <w:t>1-8项</w:t>
      </w:r>
      <w:r>
        <w:rPr>
          <w:rFonts w:hint="eastAsia" w:asciiTheme="minorEastAsia" w:hAnsiTheme="minorEastAsia" w:eastAsiaTheme="minorEastAsia" w:cstheme="minorEastAsia"/>
          <w:b/>
          <w:bCs/>
          <w:color w:val="auto"/>
          <w:spacing w:val="6"/>
          <w:sz w:val="24"/>
          <w:highlight w:val="none"/>
        </w:rPr>
        <w:t>文件携带</w:t>
      </w:r>
      <w:r>
        <w:rPr>
          <w:rFonts w:hint="eastAsia" w:asciiTheme="minorEastAsia" w:hAnsiTheme="minorEastAsia" w:eastAsiaTheme="minorEastAsia" w:cstheme="minorEastAsia"/>
          <w:b/>
          <w:bCs/>
          <w:color w:val="auto"/>
          <w:spacing w:val="6"/>
          <w:sz w:val="24"/>
          <w:highlight w:val="none"/>
          <w:lang w:eastAsia="zh-CN"/>
        </w:rPr>
        <w:t>复印件加盖公章，</w:t>
      </w:r>
      <w:r>
        <w:rPr>
          <w:rFonts w:hint="eastAsia" w:asciiTheme="minorEastAsia" w:hAnsiTheme="minorEastAsia" w:eastAsiaTheme="minorEastAsia" w:cstheme="minorEastAsia"/>
          <w:color w:val="auto"/>
          <w:spacing w:val="6"/>
          <w:sz w:val="24"/>
          <w:highlight w:val="none"/>
        </w:rPr>
        <w:t>参加开标会议，以备通过资格审查</w:t>
      </w:r>
      <w:r>
        <w:rPr>
          <w:rFonts w:hint="eastAsia" w:asciiTheme="minorEastAsia" w:hAnsiTheme="minorEastAsia" w:eastAsiaTheme="minorEastAsia" w:cstheme="minorEastAsia"/>
          <w:b/>
          <w:bCs/>
          <w:color w:val="auto"/>
          <w:spacing w:val="6"/>
          <w:sz w:val="24"/>
          <w:highlight w:val="none"/>
        </w:rPr>
        <w:t>。</w:t>
      </w:r>
      <w:bookmarkStart w:id="25" w:name="_Toc426379920"/>
      <w:bookmarkStart w:id="26" w:name="_Toc426379372"/>
      <w:bookmarkStart w:id="27" w:name="_Toc183264304"/>
      <w:r>
        <w:rPr>
          <w:rFonts w:hint="eastAsia" w:asciiTheme="minorEastAsia" w:hAnsiTheme="minorEastAsia" w:eastAsiaTheme="minorEastAsia" w:cstheme="minorEastAsia"/>
          <w:b/>
          <w:bCs/>
          <w:color w:val="auto"/>
          <w:spacing w:val="6"/>
          <w:sz w:val="24"/>
          <w:highlight w:val="none"/>
          <w:lang w:eastAsia="zh-CN"/>
        </w:rPr>
        <w:t>以上文件如不携带或缺项均视为无效报价。</w:t>
      </w:r>
    </w:p>
    <w:bookmarkEnd w:id="25"/>
    <w:bookmarkEnd w:id="26"/>
    <w:bookmarkEnd w:id="27"/>
    <w:p>
      <w:pPr>
        <w:pStyle w:val="31"/>
        <w:spacing w:before="240" w:line="360" w:lineRule="auto"/>
        <w:outlineLvl w:val="9"/>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28" w:name="_Toc16081"/>
      <w:bookmarkStart w:id="29" w:name="_Toc710"/>
      <w:bookmarkStart w:id="30" w:name="_Toc6246"/>
      <w:r>
        <w:rPr>
          <w:rFonts w:hint="eastAsia" w:asciiTheme="minorEastAsia" w:hAnsiTheme="minorEastAsia" w:eastAsiaTheme="minorEastAsia" w:cstheme="minorEastAsia"/>
          <w:b/>
          <w:bCs/>
          <w:color w:val="auto"/>
          <w:spacing w:val="0"/>
          <w:kern w:val="0"/>
          <w:sz w:val="24"/>
          <w:szCs w:val="24"/>
          <w:highlight w:val="none"/>
          <w:lang w:val="en-US" w:eastAsia="zh-CN" w:bidi="ar"/>
        </w:rPr>
        <w:t>二、评标程序</w:t>
      </w:r>
      <w:bookmarkEnd w:id="28"/>
      <w:bookmarkEnd w:id="29"/>
      <w:bookmarkEnd w:id="30"/>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组建磋商小组：招标人将根据本项目的特点组建磋商小组，其成员由招标人及有关方面的专家3人及以上单数组成，其中经济、技术等方面的专家不得少于成员总数的三分之二，磋商小组负责对投标文件进行审查、澄清、评审，推荐中标候选人或经招标人授权直接确定成交供应商。</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2.选举磋商小组组长，由磋商小组组长分工组织评标。</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3.评标准备工作。</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4.对供应商进行资格后审、符合性鉴定，审查合格者方可进入下一步评审。</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5.技术部分评审，参照执行评分细则。</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6.商务部分评审，参照执行评分细则。</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7.整理评审结果，编制评标报告并由磋商小组全体成员签字确认后，向招标人递交评标报告。</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8.磋商小组解散，评标结束。</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31" w:name="_Toc426379373"/>
      <w:bookmarkStart w:id="32" w:name="_Toc426379921"/>
      <w:bookmarkStart w:id="33" w:name="_Toc12048"/>
      <w:bookmarkStart w:id="34" w:name="_Toc16356"/>
      <w:bookmarkStart w:id="35" w:name="_Toc8926"/>
      <w:r>
        <w:rPr>
          <w:rFonts w:hint="eastAsia" w:asciiTheme="minorEastAsia" w:hAnsiTheme="minorEastAsia" w:eastAsiaTheme="minorEastAsia" w:cstheme="minorEastAsia"/>
          <w:b/>
          <w:bCs/>
          <w:color w:val="auto"/>
          <w:spacing w:val="0"/>
          <w:kern w:val="0"/>
          <w:sz w:val="24"/>
          <w:szCs w:val="24"/>
          <w:highlight w:val="none"/>
          <w:lang w:val="en-US" w:eastAsia="zh-CN" w:bidi="ar"/>
        </w:rPr>
        <w:t>三、评标原则和评标办法</w:t>
      </w:r>
      <w:bookmarkEnd w:id="31"/>
      <w:bookmarkEnd w:id="32"/>
      <w:bookmarkEnd w:id="33"/>
      <w:bookmarkEnd w:id="34"/>
      <w:bookmarkEnd w:id="35"/>
      <w:bookmarkStart w:id="36" w:name="_Toc426379922"/>
    </w:p>
    <w:p>
      <w:pPr>
        <w:pStyle w:val="31"/>
        <w:spacing w:before="240" w:line="360" w:lineRule="auto"/>
        <w:jc w:val="both"/>
        <w:outlineLvl w:val="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（一）评标原则</w:t>
      </w:r>
      <w:bookmarkEnd w:id="36"/>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“公平、公正、择优、效益”为本次评标的基本原则，磋商小组按照这一原则的要求，公正、平等地对待各供应商。同时，在评标过程中恪守以下原则：</w:t>
      </w:r>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1.客观性原则：磋商小组将严格按照采购文件的要求，对供应商的投标文件进行认真评审；磋商小组对投标文件的评审仅依据投标文件本身，而不依据投标文件以外的任何因素。</w:t>
      </w:r>
    </w:p>
    <w:p>
      <w:pPr>
        <w:pStyle w:val="29"/>
        <w:spacing w:line="360" w:lineRule="auto"/>
        <w:ind w:firstLine="379" w:firstLineChars="158"/>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2.统一性原则：磋商小组将按照统一的评标原则和评标方法，用同一标准进行评标。</w:t>
      </w:r>
    </w:p>
    <w:p>
      <w:pPr>
        <w:pStyle w:val="29"/>
        <w:spacing w:line="360" w:lineRule="auto"/>
        <w:ind w:left="859" w:leftChars="199" w:hanging="381" w:hangingChars="15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3.独立性原则：评标工作在磋商小组内部独立进行，不受外界任何因素的干扰和影响。评委对出具的评标意见承担个人责任。</w:t>
      </w:r>
    </w:p>
    <w:p>
      <w:pPr>
        <w:pStyle w:val="29"/>
        <w:spacing w:line="360" w:lineRule="auto"/>
        <w:ind w:left="859" w:leftChars="199" w:hanging="381" w:hangingChars="15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4.保密性原则：采购代理机构应当采取必要的措施，保证评标在严格保密的情况下进行。</w:t>
      </w:r>
    </w:p>
    <w:p>
      <w:pPr>
        <w:pStyle w:val="29"/>
        <w:spacing w:line="360" w:lineRule="auto"/>
        <w:ind w:left="859" w:leftChars="199" w:hanging="381" w:hangingChars="15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5.综合性原则：磋商小组将综合分析、评审供应商的各项指标，而不以单项指标的优劣评定出中标候选人或成交供应商。</w:t>
      </w:r>
    </w:p>
    <w:p>
      <w:pPr>
        <w:pStyle w:val="31"/>
        <w:spacing w:beforeLines="50" w:line="360" w:lineRule="auto"/>
        <w:jc w:val="both"/>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37" w:name="_Toc426379923"/>
      <w:r>
        <w:rPr>
          <w:rFonts w:hint="eastAsia" w:asciiTheme="minorEastAsia" w:hAnsiTheme="minorEastAsia" w:eastAsiaTheme="minorEastAsia" w:cstheme="minorEastAsia"/>
          <w:color w:val="auto"/>
          <w:spacing w:val="0"/>
          <w:kern w:val="0"/>
          <w:sz w:val="24"/>
          <w:szCs w:val="24"/>
          <w:highlight w:val="none"/>
          <w:lang w:val="en-US" w:eastAsia="zh-CN" w:bidi="ar"/>
        </w:rPr>
        <w:t>（二）评标办法</w:t>
      </w:r>
      <w:bookmarkEnd w:id="37"/>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本次评标采用综合评分法，磋商小组成员根据磋商文件中确定的评分办法综合评定各供应商提交的投标文件，磋商小组成员打分取算术平均值计算综合总得分，按照得分由高到低排序，择优选取一名成交供应商。</w:t>
      </w:r>
    </w:p>
    <w:p>
      <w:pPr>
        <w:spacing w:line="360" w:lineRule="auto"/>
        <w:ind w:firstLine="398" w:firstLineChars="166"/>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1.初步评审</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磋商小组对供应商进行资格审查。资格审查指依据法律、法规和竞争性磋商文件的规定，对报价文件中的资格证明、报价保证金等进行审查，如果供应商出现没有按照要求提交全部资格证明文件或资格证明无效；未按要求提交报价保证金等则视为该供应商资格审查不合格。</w:t>
      </w:r>
    </w:p>
    <w:p>
      <w:pPr>
        <w:numPr>
          <w:ilvl w:val="0"/>
          <w:numId w:val="10"/>
        </w:numPr>
        <w:spacing w:line="360" w:lineRule="auto"/>
        <w:ind w:left="878" w:leftChars="199" w:hanging="400" w:hangingChars="167"/>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磋商：</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磋商小组将与通过资格审查的供应商分别进行磋商。在磋商中，磋商的任何一方不得透露与磋商有关的其他供应商的技术资料、价格和其他信息。竞争性磋商文件有实质性变动的，磋商小组将以书面形式通知所有参加磋商的供应商。</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（1）供应商在磋商小组规定的时间内按要求再次以书面形式报价，并由法定代表人或授权代理人签字确认。</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（2）最终报价后，重大偏离不允许被修正，但磋商小组将允许修正报价中不构成重大偏离的地方，这些修正不会对其他实质上响应竞争性磋商文件要求的供应商的竞争地位产生不公正的影响。</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（3）如出现供应商达不到法定数量，供应商最终报价均超出采购预算，磋商小组有权否决所有报价，采购人报请监督管理机构批准后另行采购。</w:t>
      </w:r>
    </w:p>
    <w:p>
      <w:pPr>
        <w:spacing w:line="360" w:lineRule="auto"/>
        <w:ind w:left="792" w:leftChars="199" w:hanging="314" w:hangingChars="131"/>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3.确定成交供应商</w:t>
      </w:r>
    </w:p>
    <w:p>
      <w:pPr>
        <w:pStyle w:val="29"/>
        <w:spacing w:line="360" w:lineRule="auto"/>
        <w:ind w:left="0" w:leftChars="0" w:firstLine="240" w:firstLineChars="10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以供应商最后一轮的报价及承诺作为磋商小组确定成交供应商的依据。磋商小组应当根据综合评分情况，按照评审得分由高到低顺序推荐成交候选供应商。</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38" w:name="_Toc11085"/>
      <w:bookmarkStart w:id="39" w:name="_Toc1091"/>
      <w:bookmarkStart w:id="40" w:name="_Toc31621"/>
      <w:bookmarkStart w:id="41" w:name="_Toc426379374"/>
      <w:bookmarkStart w:id="42" w:name="_Toc426379924"/>
      <w:r>
        <w:rPr>
          <w:rFonts w:hint="eastAsia" w:asciiTheme="minorEastAsia" w:hAnsiTheme="minorEastAsia" w:eastAsiaTheme="minorEastAsia" w:cstheme="minorEastAsia"/>
          <w:b/>
          <w:bCs/>
          <w:color w:val="auto"/>
          <w:spacing w:val="0"/>
          <w:kern w:val="0"/>
          <w:sz w:val="24"/>
          <w:szCs w:val="24"/>
          <w:highlight w:val="none"/>
          <w:lang w:val="en-US" w:eastAsia="zh-CN" w:bidi="ar"/>
        </w:rPr>
        <w:t>四、评标纪律</w:t>
      </w:r>
      <w:bookmarkEnd w:id="38"/>
      <w:bookmarkEnd w:id="39"/>
      <w:bookmarkEnd w:id="40"/>
      <w:bookmarkEnd w:id="41"/>
      <w:bookmarkEnd w:id="42"/>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43" w:name="_Toc426379375"/>
      <w:bookmarkStart w:id="44" w:name="_Toc426379925"/>
      <w:r>
        <w:rPr>
          <w:rFonts w:hint="eastAsia" w:asciiTheme="minorEastAsia" w:hAnsiTheme="minorEastAsia" w:eastAsiaTheme="minorEastAsia" w:cstheme="minorEastAsia"/>
          <w:color w:val="auto"/>
          <w:spacing w:val="0"/>
          <w:kern w:val="0"/>
          <w:sz w:val="24"/>
          <w:szCs w:val="24"/>
          <w:highlight w:val="none"/>
          <w:lang w:val="en-US" w:eastAsia="zh-CN" w:bidi="ar"/>
        </w:rPr>
        <w:t>1.磋商小组内部讨论的情况和意见必须保密，任何人不得以任何形式透露给供应商或与供应商有关的单位或个人。</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2.磋商小组成员在磋商期间不得与供应商进行私下接触，不得私自离开磋商现场，如确需离开现场须在公证员监督下进行，并按时返回。</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3.在磋商过程中，供应商不得以任何形式对磋商小组成员进行旨在影响磋商及结果的任何行为，否则取消其磋商资格。</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4.在磋商过程中，供应商对报价文件的内容在符合竞争性磋商文件的前提下可进行修改，但最终报价必须以书面形式确认。</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5.投标单位瑕疵滞后的处理</w:t>
      </w:r>
    </w:p>
    <w:p>
      <w:pPr>
        <w:spacing w:line="360" w:lineRule="auto"/>
        <w:jc w:val="left"/>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5.1无论基于何种原因，各项本应作拒绝处理的情形即便未被及时发现而使该投标单位进入初审、综合评审或其它后续程序，包括已经签订合同的情形，一旦在任何时间被发现存在上述情形，则招标代理机构均有权随时视情形决定是否取消该投标单位的此前评议结果，或随时视情形决定是否对该报价予以拒绝，并有权决定采取相应的补救或纠正措施。一旦该投标单位被拒绝或被取消该投标单位的此前评议结果，其现有的位置将被其他供应商依序替代，相关的一切损失均由该投标单位承担。</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5.2若已经超过质疑期限而没有被发现且已经签订了相关的合同，之后才发现存在上述情形，经评标委员会/招标代理机构再行审查认为其在技术、必要资质等方面并不存在问题而仅属于商务方面存在瑕疵的问题，且若一旦取消该投标单位的此前评议结果或采取类似效果的处理措施将对本次采购更为不利，在此情形下准备考虑维持结果，评标委员会/招标代理机构有权要求该存在瑕疵的投标单位提供特别担保金用以承担可能产生的赔偿责任，若其拒绝提供该等担保或所实际提供的担保金额不足要求金额，评标委员会/招标代理机构有权并且应当决定取消投标单位的此前评议结果或采取类似效果的措施。</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6. 特殊情况下的处理方法</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根据政府采购法律法规的有关规定，出现下列情形之一的，评标委员会将否决所有投标单位的报价。</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1）出现影响采购公正的违法、违规行为的；</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 供应商的最终报价均超过了采购预算；</w:t>
      </w:r>
      <w:r>
        <w:rPr>
          <w:rFonts w:hint="eastAsia" w:asciiTheme="minorEastAsia" w:hAnsiTheme="minorEastAsia" w:eastAsiaTheme="minorEastAsia" w:cstheme="minorEastAsia"/>
          <w:color w:val="auto"/>
          <w:spacing w:val="0"/>
          <w:kern w:val="0"/>
          <w:sz w:val="24"/>
          <w:szCs w:val="24"/>
          <w:highlight w:val="none"/>
          <w:lang w:val="en-US" w:eastAsia="zh-CN" w:bidi="ar"/>
        </w:rPr>
        <w:br w:type="textWrapping"/>
      </w:r>
      <w:r>
        <w:rPr>
          <w:rFonts w:hint="eastAsia" w:asciiTheme="minorEastAsia" w:hAnsiTheme="minorEastAsia" w:eastAsiaTheme="minorEastAsia" w:cstheme="minorEastAsia"/>
          <w:color w:val="auto"/>
          <w:spacing w:val="0"/>
          <w:kern w:val="0"/>
          <w:sz w:val="24"/>
          <w:szCs w:val="24"/>
          <w:highlight w:val="none"/>
          <w:lang w:val="en-US" w:eastAsia="zh-CN" w:bidi="ar"/>
        </w:rPr>
        <w:t>3) 因重大变故，采购任务取消的。</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45" w:name="_Toc29059"/>
      <w:bookmarkStart w:id="46" w:name="_Toc30345"/>
      <w:bookmarkStart w:id="47" w:name="_Toc10308"/>
      <w:r>
        <w:rPr>
          <w:rFonts w:hint="eastAsia" w:asciiTheme="minorEastAsia" w:hAnsiTheme="minorEastAsia" w:eastAsiaTheme="minorEastAsia" w:cstheme="minorEastAsia"/>
          <w:b/>
          <w:bCs/>
          <w:color w:val="auto"/>
          <w:spacing w:val="0"/>
          <w:kern w:val="0"/>
          <w:sz w:val="24"/>
          <w:szCs w:val="24"/>
          <w:highlight w:val="none"/>
          <w:lang w:val="en-US" w:eastAsia="zh-CN" w:bidi="ar"/>
        </w:rPr>
        <w:t>五、定标</w:t>
      </w:r>
      <w:bookmarkEnd w:id="43"/>
      <w:bookmarkEnd w:id="44"/>
      <w:bookmarkEnd w:id="45"/>
      <w:bookmarkEnd w:id="46"/>
      <w:bookmarkEnd w:id="47"/>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本项目招标人根据磋商小组提交的书面评标报告依法确定成交供应商。</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48" w:name="_Toc15684"/>
      <w:bookmarkStart w:id="49" w:name="_Toc426379376"/>
      <w:bookmarkStart w:id="50" w:name="_Toc426379926"/>
      <w:bookmarkStart w:id="51" w:name="_Toc9367"/>
      <w:bookmarkStart w:id="52" w:name="_Toc20940"/>
      <w:r>
        <w:rPr>
          <w:rFonts w:hint="eastAsia" w:asciiTheme="minorEastAsia" w:hAnsiTheme="minorEastAsia" w:eastAsiaTheme="minorEastAsia" w:cstheme="minorEastAsia"/>
          <w:b/>
          <w:bCs/>
          <w:color w:val="auto"/>
          <w:spacing w:val="0"/>
          <w:kern w:val="0"/>
          <w:sz w:val="24"/>
          <w:szCs w:val="24"/>
          <w:highlight w:val="none"/>
          <w:lang w:val="en-US" w:eastAsia="zh-CN" w:bidi="ar"/>
        </w:rPr>
        <w:t>六、中标通知书</w:t>
      </w:r>
      <w:bookmarkEnd w:id="48"/>
      <w:bookmarkEnd w:id="49"/>
      <w:bookmarkEnd w:id="50"/>
      <w:bookmarkEnd w:id="51"/>
      <w:bookmarkEnd w:id="52"/>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确定中标结果后，在投标有效期内，采购代理机构向成交供应商签发《成交通知书》。对未中标者，招标人不对未中标原因做出解释，同时亦不退还投标文件。</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53" w:name="_Toc21170"/>
      <w:bookmarkStart w:id="54" w:name="_Toc426379377"/>
      <w:bookmarkStart w:id="55" w:name="_Toc11912"/>
      <w:bookmarkStart w:id="56" w:name="_Toc426379927"/>
      <w:bookmarkStart w:id="57" w:name="_Toc23838"/>
      <w:r>
        <w:rPr>
          <w:rFonts w:hint="eastAsia" w:asciiTheme="minorEastAsia" w:hAnsiTheme="minorEastAsia" w:eastAsiaTheme="minorEastAsia" w:cstheme="minorEastAsia"/>
          <w:b/>
          <w:bCs/>
          <w:color w:val="auto"/>
          <w:spacing w:val="0"/>
          <w:kern w:val="0"/>
          <w:sz w:val="24"/>
          <w:szCs w:val="24"/>
          <w:highlight w:val="none"/>
          <w:lang w:val="en-US" w:eastAsia="zh-CN" w:bidi="ar"/>
        </w:rPr>
        <w:t>七、授予合同</w:t>
      </w:r>
      <w:bookmarkEnd w:id="53"/>
      <w:bookmarkEnd w:id="54"/>
      <w:bookmarkEnd w:id="55"/>
      <w:bookmarkEnd w:id="56"/>
      <w:bookmarkEnd w:id="57"/>
    </w:p>
    <w:p>
      <w:pPr>
        <w:pStyle w:val="29"/>
        <w:spacing w:line="360" w:lineRule="auto"/>
        <w:ind w:left="0" w:leftChars="0" w:firstLine="0" w:firstLineChars="0"/>
        <w:rPr>
          <w:rFonts w:hint="eastAsia" w:ascii="宋体" w:hAnsi="宋体" w:cs="宋体"/>
          <w:color w:val="auto"/>
        </w:rPr>
      </w:pPr>
      <w:r>
        <w:rPr>
          <w:rFonts w:hint="eastAsia" w:asciiTheme="minorEastAsia" w:hAnsiTheme="minorEastAsia" w:eastAsiaTheme="minorEastAsia" w:cstheme="minorEastAsia"/>
          <w:color w:val="auto"/>
          <w:spacing w:val="0"/>
          <w:kern w:val="0"/>
          <w:sz w:val="24"/>
          <w:szCs w:val="24"/>
          <w:highlight w:val="none"/>
          <w:lang w:val="en-US" w:eastAsia="zh-CN" w:bidi="ar"/>
        </w:rPr>
        <w:t>《成交通知书》发出后30日内，采购人与成交供应商签订合同。磋商文件、成交供应商的投标文件以及评标过程中的有关澄清、承诺文件均为合同的组成部分。</w:t>
      </w:r>
    </w:p>
    <w:p>
      <w:pPr>
        <w:rPr>
          <w:rFonts w:hint="eastAsia" w:asciiTheme="majorEastAsia" w:hAnsiTheme="majorEastAsia" w:eastAsiaTheme="majorEastAsia" w:cstheme="majorEastAsia"/>
          <w:color w:val="auto"/>
          <w:sz w:val="32"/>
          <w:szCs w:val="32"/>
        </w:rPr>
      </w:pPr>
      <w:bookmarkStart w:id="58" w:name="_Toc11058"/>
      <w:r>
        <w:rPr>
          <w:rFonts w:hint="eastAsia" w:asciiTheme="majorEastAsia" w:hAnsiTheme="majorEastAsia" w:eastAsiaTheme="majorEastAsia" w:cstheme="majorEastAsia"/>
          <w:color w:val="auto"/>
          <w:sz w:val="32"/>
          <w:szCs w:val="32"/>
        </w:rPr>
        <w:br w:type="page"/>
      </w:r>
    </w:p>
    <w:p>
      <w:pPr>
        <w:pStyle w:val="4"/>
        <w:jc w:val="center"/>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第五部分  合同格式</w:t>
      </w:r>
      <w:bookmarkEnd w:id="58"/>
    </w:p>
    <w:p>
      <w:pPr>
        <w:ind w:firstLine="6325" w:firstLineChars="2100"/>
        <w:rPr>
          <w:rFonts w:hint="eastAsia" w:ascii="宋体" w:hAnsi="宋体" w:eastAsia="宋体" w:cs="宋体"/>
          <w:b/>
          <w:color w:val="auto"/>
          <w:sz w:val="30"/>
          <w:szCs w:val="30"/>
        </w:rPr>
      </w:pPr>
    </w:p>
    <w:p>
      <w:pPr>
        <w:ind w:firstLine="6325" w:firstLineChars="2100"/>
        <w:rPr>
          <w:rFonts w:hint="eastAsia" w:ascii="宋体" w:hAnsi="宋体" w:eastAsia="宋体" w:cs="宋体"/>
          <w:b/>
          <w:color w:val="auto"/>
          <w:sz w:val="30"/>
          <w:szCs w:val="30"/>
        </w:rPr>
      </w:pPr>
      <w:r>
        <w:rPr>
          <w:rFonts w:hint="eastAsia" w:ascii="宋体" w:hAnsi="宋体" w:eastAsia="宋体" w:cs="宋体"/>
          <w:b/>
          <w:color w:val="auto"/>
          <w:sz w:val="30"/>
          <w:szCs w:val="30"/>
        </w:rPr>
        <w:t>合同编号：</w:t>
      </w:r>
    </w:p>
    <w:p>
      <w:pPr>
        <w:rPr>
          <w:rFonts w:hint="eastAsia" w:ascii="宋体" w:hAnsi="宋体" w:eastAsia="宋体" w:cs="宋体"/>
          <w:b/>
          <w:color w:val="auto"/>
          <w:sz w:val="36"/>
        </w:rPr>
      </w:pPr>
    </w:p>
    <w:p>
      <w:pPr>
        <w:jc w:val="center"/>
        <w:rPr>
          <w:rFonts w:hint="eastAsia" w:ascii="宋体" w:hAnsi="宋体" w:eastAsia="宋体" w:cs="宋体"/>
          <w:b/>
          <w:color w:val="auto"/>
          <w:sz w:val="72"/>
        </w:rPr>
      </w:pPr>
      <w:r>
        <w:rPr>
          <w:rFonts w:hint="eastAsia" w:ascii="宋体" w:hAnsi="宋体" w:eastAsia="宋体" w:cs="宋体"/>
          <w:b/>
          <w:color w:val="auto"/>
          <w:sz w:val="72"/>
        </w:rPr>
        <w:t>政府采购合同</w:t>
      </w:r>
    </w:p>
    <w:p>
      <w:pPr>
        <w:jc w:val="center"/>
        <w:rPr>
          <w:rFonts w:hint="eastAsia" w:ascii="宋体" w:hAnsi="宋体" w:eastAsia="宋体" w:cs="宋体"/>
          <w:b/>
          <w:color w:val="auto"/>
          <w:sz w:val="30"/>
        </w:rPr>
      </w:pPr>
      <w:r>
        <w:rPr>
          <w:rFonts w:hint="eastAsia" w:ascii="宋体" w:hAnsi="宋体" w:eastAsia="宋体" w:cs="宋体"/>
          <w:b/>
          <w:color w:val="auto"/>
          <w:sz w:val="30"/>
        </w:rPr>
        <w:t>（</w:t>
      </w:r>
      <w:r>
        <w:rPr>
          <w:rFonts w:hint="eastAsia" w:ascii="宋体" w:hAnsi="宋体" w:cs="宋体"/>
          <w:b/>
          <w:color w:val="auto"/>
          <w:sz w:val="30"/>
          <w:lang w:eastAsia="zh-CN"/>
        </w:rPr>
        <w:t>竞争性磋商</w:t>
      </w:r>
      <w:r>
        <w:rPr>
          <w:rFonts w:hint="eastAsia" w:ascii="宋体" w:hAnsi="宋体" w:eastAsia="宋体" w:cs="宋体"/>
          <w:b/>
          <w:color w:val="auto"/>
          <w:sz w:val="30"/>
        </w:rPr>
        <w:t>：</w:t>
      </w:r>
      <w:r>
        <w:rPr>
          <w:rFonts w:hint="eastAsia" w:ascii="宋体" w:hAnsi="宋体" w:cs="宋体"/>
          <w:b/>
          <w:color w:val="auto"/>
          <w:sz w:val="30"/>
          <w:lang w:eastAsia="zh-CN"/>
        </w:rPr>
        <w:t>服务</w:t>
      </w:r>
      <w:r>
        <w:rPr>
          <w:rFonts w:hint="eastAsia" w:ascii="宋体" w:hAnsi="宋体" w:eastAsia="宋体" w:cs="宋体"/>
          <w:b/>
          <w:color w:val="auto"/>
          <w:sz w:val="30"/>
        </w:rPr>
        <w:t>类）</w:t>
      </w:r>
    </w:p>
    <w:p>
      <w:pPr>
        <w:jc w:val="center"/>
        <w:rPr>
          <w:rFonts w:hint="eastAsia" w:ascii="宋体" w:hAnsi="宋体" w:eastAsia="宋体" w:cs="宋体"/>
          <w:b/>
          <w:color w:val="auto"/>
          <w:sz w:val="30"/>
        </w:rPr>
      </w:pPr>
    </w:p>
    <w:p>
      <w:pPr>
        <w:tabs>
          <w:tab w:val="left" w:pos="7360"/>
        </w:tabs>
        <w:jc w:val="left"/>
        <w:rPr>
          <w:rFonts w:hint="eastAsia" w:ascii="宋体" w:hAnsi="宋体" w:eastAsia="宋体" w:cs="宋体"/>
          <w:b/>
          <w:color w:val="auto"/>
          <w:sz w:val="36"/>
        </w:rPr>
      </w:pPr>
      <w:r>
        <w:rPr>
          <w:rFonts w:hint="eastAsia" w:ascii="宋体" w:hAnsi="宋体" w:eastAsia="宋体" w:cs="宋体"/>
          <w:b/>
          <w:color w:val="auto"/>
          <w:sz w:val="36"/>
        </w:rPr>
        <w:tab/>
      </w:r>
    </w:p>
    <w:p>
      <w:pPr>
        <w:ind w:firstLine="1796" w:firstLineChars="497"/>
        <w:rPr>
          <w:rFonts w:hint="eastAsia" w:ascii="宋体" w:hAnsi="宋体" w:eastAsia="宋体" w:cs="宋体"/>
          <w:b/>
          <w:color w:val="auto"/>
          <w:sz w:val="36"/>
        </w:rPr>
      </w:pPr>
    </w:p>
    <w:p>
      <w:pPr>
        <w:ind w:firstLine="1796" w:firstLineChars="497"/>
        <w:rPr>
          <w:rFonts w:hint="eastAsia" w:ascii="宋体" w:hAnsi="宋体" w:eastAsia="宋体" w:cs="宋体"/>
          <w:b/>
          <w:color w:val="auto"/>
          <w:sz w:val="36"/>
        </w:rPr>
      </w:pPr>
      <w:r>
        <w:rPr>
          <w:rFonts w:hint="eastAsia" w:ascii="宋体" w:hAnsi="宋体" w:eastAsia="宋体" w:cs="宋体"/>
          <w:b/>
          <w:color w:val="auto"/>
          <w:sz w:val="36"/>
        </w:rPr>
        <w:t>项目名称:</w:t>
      </w:r>
      <w:r>
        <w:rPr>
          <w:rFonts w:hint="eastAsia" w:ascii="宋体" w:hAnsi="宋体" w:eastAsia="宋体" w:cs="宋体"/>
          <w:b/>
          <w:color w:val="auto"/>
          <w:sz w:val="36"/>
          <w:u w:val="single"/>
        </w:rPr>
        <w:t xml:space="preserve">                    </w:t>
      </w:r>
    </w:p>
    <w:p>
      <w:pPr>
        <w:spacing w:before="312" w:beforeLines="100"/>
        <w:ind w:firstLine="1796" w:firstLineChars="497"/>
        <w:rPr>
          <w:rFonts w:hint="eastAsia" w:ascii="宋体" w:hAnsi="宋体" w:eastAsia="宋体" w:cs="宋体"/>
          <w:b/>
          <w:color w:val="auto"/>
          <w:sz w:val="36"/>
          <w:u w:val="single"/>
        </w:rPr>
      </w:pPr>
      <w:r>
        <w:rPr>
          <w:rFonts w:hint="eastAsia" w:ascii="宋体" w:hAnsi="宋体" w:eastAsia="宋体" w:cs="宋体"/>
          <w:b/>
          <w:color w:val="auto"/>
          <w:sz w:val="36"/>
        </w:rPr>
        <w:t>项目编号:</w:t>
      </w:r>
      <w:r>
        <w:rPr>
          <w:rFonts w:hint="eastAsia" w:ascii="宋体" w:hAnsi="宋体" w:eastAsia="宋体" w:cs="宋体"/>
          <w:b/>
          <w:color w:val="auto"/>
          <w:sz w:val="36"/>
          <w:u w:val="single"/>
        </w:rPr>
        <w:t xml:space="preserve">                    </w:t>
      </w: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snapToGrid w:val="0"/>
        <w:ind w:firstLine="1606"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甲    方:</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乙    方:</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代理机构名称：</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合同生成日期：</w:t>
      </w:r>
    </w:p>
    <w:p>
      <w:pPr>
        <w:spacing w:line="360" w:lineRule="auto"/>
        <w:rPr>
          <w:rFonts w:hint="eastAsia" w:ascii="宋体" w:hAnsi="宋体" w:eastAsia="宋体" w:cs="宋体"/>
          <w:color w:val="auto"/>
          <w:sz w:val="24"/>
          <w:u w:val="single"/>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u w:val="single"/>
        </w:rPr>
        <w:t>（甲方）</w:t>
      </w:r>
      <w:r>
        <w:rPr>
          <w:rFonts w:hint="eastAsia" w:ascii="宋体" w:hAnsi="宋体" w:eastAsia="宋体" w:cs="宋体"/>
          <w:color w:val="auto"/>
          <w:sz w:val="24"/>
        </w:rPr>
        <w:t xml:space="preserve">所需 </w:t>
      </w:r>
      <w:r>
        <w:rPr>
          <w:rFonts w:hint="eastAsia" w:ascii="宋体" w:hAnsi="宋体" w:eastAsia="宋体" w:cs="宋体"/>
          <w:color w:val="auto"/>
          <w:sz w:val="24"/>
          <w:u w:val="single"/>
        </w:rPr>
        <w:t xml:space="preserve">  (名称)</w:t>
      </w:r>
      <w:r>
        <w:rPr>
          <w:rFonts w:hint="eastAsia" w:ascii="宋体" w:hAnsi="宋体" w:eastAsia="宋体" w:cs="宋体"/>
          <w:color w:val="auto"/>
          <w:sz w:val="24"/>
        </w:rPr>
        <w:t>经</w:t>
      </w:r>
      <w:r>
        <w:rPr>
          <w:rFonts w:hint="eastAsia" w:ascii="宋体" w:hAnsi="宋体" w:eastAsia="宋体" w:cs="宋体"/>
          <w:color w:val="auto"/>
          <w:sz w:val="24"/>
          <w:u w:val="single"/>
        </w:rPr>
        <w:t>（代理机构名称）</w:t>
      </w:r>
      <w:r>
        <w:rPr>
          <w:rFonts w:hint="eastAsia" w:ascii="宋体" w:hAnsi="宋体" w:eastAsia="宋体" w:cs="宋体"/>
          <w:color w:val="auto"/>
          <w:sz w:val="24"/>
        </w:rPr>
        <w:t>以</w:t>
      </w:r>
      <w:r>
        <w:rPr>
          <w:rFonts w:hint="eastAsia" w:ascii="宋体" w:hAnsi="宋体" w:cs="宋体"/>
          <w:color w:val="auto"/>
          <w:sz w:val="24"/>
          <w:lang w:eastAsia="zh-CN"/>
        </w:rPr>
        <w:t>招标</w:t>
      </w:r>
      <w:r>
        <w:rPr>
          <w:rFonts w:hint="eastAsia" w:ascii="宋体" w:hAnsi="宋体" w:eastAsia="宋体" w:cs="宋体"/>
          <w:color w:val="auto"/>
          <w:sz w:val="24"/>
        </w:rPr>
        <w:t>在国内以</w:t>
      </w:r>
      <w:r>
        <w:rPr>
          <w:rFonts w:hint="eastAsia" w:ascii="宋体" w:hAnsi="宋体" w:cs="宋体"/>
          <w:color w:val="auto"/>
          <w:sz w:val="24"/>
          <w:lang w:eastAsia="zh-CN"/>
        </w:rPr>
        <w:t>竞争性磋商</w:t>
      </w:r>
      <w:r>
        <w:rPr>
          <w:rFonts w:hint="eastAsia" w:ascii="宋体" w:hAnsi="宋体" w:eastAsia="宋体" w:cs="宋体"/>
          <w:color w:val="auto"/>
          <w:sz w:val="24"/>
        </w:rPr>
        <w:t>方式进行采购。经</w:t>
      </w:r>
      <w:r>
        <w:rPr>
          <w:rFonts w:hint="eastAsia" w:ascii="宋体" w:hAnsi="宋体" w:cs="宋体"/>
          <w:color w:val="auto"/>
          <w:sz w:val="24"/>
          <w:lang w:eastAsia="zh-CN"/>
        </w:rPr>
        <w:t>磋商小组</w:t>
      </w:r>
      <w:r>
        <w:rPr>
          <w:rFonts w:hint="eastAsia" w:ascii="宋体" w:hAnsi="宋体" w:eastAsia="宋体" w:cs="宋体"/>
          <w:color w:val="auto"/>
          <w:sz w:val="24"/>
        </w:rPr>
        <w:t>确定（乙方）为中标人。甲、乙双方根据《中华人民共和国合同法》、《中华人民共和国政府采购法》和其他法律、法规的规定，并按照公正、平等、自愿、诚实信用的原则，同意按照以下条款和条件，签署本合同。</w:t>
      </w:r>
    </w:p>
    <w:p>
      <w:pPr>
        <w:spacing w:line="360" w:lineRule="auto"/>
        <w:ind w:firstLine="383" w:firstLineChars="159"/>
        <w:rPr>
          <w:rFonts w:hint="eastAsia" w:ascii="宋体" w:hAnsi="宋体" w:eastAsia="宋体" w:cs="宋体"/>
          <w:b/>
          <w:bCs/>
          <w:color w:val="auto"/>
          <w:sz w:val="24"/>
        </w:rPr>
      </w:pPr>
      <w:r>
        <w:rPr>
          <w:rFonts w:hint="eastAsia" w:ascii="宋体" w:hAnsi="宋体" w:eastAsia="宋体" w:cs="宋体"/>
          <w:b/>
          <w:bCs/>
          <w:color w:val="auto"/>
          <w:sz w:val="24"/>
        </w:rPr>
        <w:t>一、本合同由合同文本和下列文件组成</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1、合同一般条款</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2、合同特殊条款</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3、采购服务内容</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4、合同补充条款或说明</w:t>
      </w:r>
    </w:p>
    <w:p>
      <w:pPr>
        <w:spacing w:line="360" w:lineRule="auto"/>
        <w:ind w:firstLine="382"/>
        <w:rPr>
          <w:rFonts w:hint="eastAsia" w:ascii="宋体" w:hAnsi="宋体" w:eastAsia="宋体" w:cs="宋体"/>
          <w:b/>
          <w:bCs/>
          <w:color w:val="auto"/>
          <w:sz w:val="24"/>
        </w:rPr>
      </w:pPr>
      <w:r>
        <w:rPr>
          <w:rFonts w:hint="eastAsia" w:ascii="宋体" w:hAnsi="宋体" w:eastAsia="宋体" w:cs="宋体"/>
          <w:b/>
          <w:bCs/>
          <w:color w:val="auto"/>
          <w:sz w:val="24"/>
        </w:rPr>
        <w:t>二、服务的名称、内容</w:t>
      </w:r>
    </w:p>
    <w:p>
      <w:pPr>
        <w:spacing w:line="360" w:lineRule="auto"/>
        <w:ind w:left="955"/>
        <w:rPr>
          <w:rFonts w:hint="eastAsia" w:ascii="宋体" w:hAnsi="宋体" w:eastAsia="宋体" w:cs="宋体"/>
          <w:color w:val="auto"/>
          <w:sz w:val="24"/>
        </w:rPr>
      </w:pPr>
      <w:r>
        <w:rPr>
          <w:rFonts w:hint="eastAsia" w:ascii="宋体" w:hAnsi="宋体" w:eastAsia="宋体" w:cs="宋体"/>
          <w:color w:val="auto"/>
          <w:sz w:val="24"/>
        </w:rPr>
        <w:t>_______________________________</w:t>
      </w:r>
    </w:p>
    <w:p>
      <w:pPr>
        <w:spacing w:line="360" w:lineRule="auto"/>
        <w:ind w:left="955"/>
        <w:rPr>
          <w:rFonts w:hint="eastAsia" w:ascii="宋体" w:hAnsi="宋体" w:eastAsia="宋体" w:cs="宋体"/>
          <w:color w:val="auto"/>
          <w:sz w:val="24"/>
        </w:rPr>
      </w:pPr>
      <w:r>
        <w:rPr>
          <w:rFonts w:hint="eastAsia" w:ascii="宋体" w:hAnsi="宋体" w:eastAsia="宋体" w:cs="宋体"/>
          <w:color w:val="auto"/>
          <w:sz w:val="24"/>
        </w:rPr>
        <w:t>（可后附详细服务内容）</w:t>
      </w:r>
    </w:p>
    <w:p>
      <w:pPr>
        <w:spacing w:line="360" w:lineRule="auto"/>
        <w:ind w:firstLine="382"/>
        <w:rPr>
          <w:rFonts w:hint="eastAsia" w:ascii="宋体" w:hAnsi="宋体" w:eastAsia="宋体" w:cs="宋体"/>
          <w:color w:val="auto"/>
          <w:sz w:val="24"/>
        </w:rPr>
      </w:pPr>
      <w:r>
        <w:rPr>
          <w:rFonts w:hint="eastAsia" w:ascii="宋体" w:hAnsi="宋体" w:eastAsia="宋体" w:cs="宋体"/>
          <w:b/>
          <w:bCs/>
          <w:color w:val="auto"/>
          <w:sz w:val="24"/>
        </w:rPr>
        <w:t>三、合同金额</w:t>
      </w:r>
    </w:p>
    <w:p>
      <w:pPr>
        <w:spacing w:line="360" w:lineRule="auto"/>
        <w:ind w:firstLine="955"/>
        <w:rPr>
          <w:rFonts w:hint="eastAsia" w:ascii="宋体" w:hAnsi="宋体" w:eastAsia="宋体" w:cs="宋体"/>
          <w:color w:val="auto"/>
          <w:sz w:val="24"/>
        </w:rPr>
      </w:pPr>
      <w:r>
        <w:rPr>
          <w:rFonts w:hint="eastAsia" w:ascii="宋体" w:hAnsi="宋体" w:eastAsia="宋体" w:cs="宋体"/>
          <w:color w:val="auto"/>
          <w:sz w:val="24"/>
        </w:rPr>
        <w:t>合同总金额：</w:t>
      </w:r>
      <w:r>
        <w:rPr>
          <w:rFonts w:hint="eastAsia" w:ascii="宋体" w:hAnsi="宋体" w:eastAsia="宋体" w:cs="宋体"/>
          <w:color w:val="auto"/>
          <w:sz w:val="24"/>
          <w:u w:val="single"/>
        </w:rPr>
        <w:t xml:space="preserve">人民币       </w:t>
      </w:r>
      <w:r>
        <w:rPr>
          <w:rFonts w:hint="eastAsia" w:ascii="宋体" w:hAnsi="宋体" w:eastAsia="宋体" w:cs="宋体"/>
          <w:color w:val="auto"/>
          <w:sz w:val="24"/>
        </w:rPr>
        <w:t>（大写）</w:t>
      </w:r>
    </w:p>
    <w:p>
      <w:pPr>
        <w:spacing w:line="360" w:lineRule="auto"/>
        <w:ind w:firstLine="955"/>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人民币       </w:t>
      </w:r>
      <w:r>
        <w:rPr>
          <w:rFonts w:hint="eastAsia" w:ascii="宋体" w:hAnsi="宋体" w:eastAsia="宋体" w:cs="宋体"/>
          <w:color w:val="auto"/>
          <w:sz w:val="24"/>
        </w:rPr>
        <w:t>（小写）</w:t>
      </w:r>
    </w:p>
    <w:p>
      <w:pPr>
        <w:spacing w:line="360" w:lineRule="auto"/>
        <w:ind w:firstLine="382"/>
        <w:rPr>
          <w:rFonts w:hint="eastAsia" w:ascii="宋体" w:hAnsi="宋体" w:eastAsia="宋体" w:cs="宋体"/>
          <w:b/>
          <w:bCs/>
          <w:color w:val="auto"/>
          <w:sz w:val="24"/>
        </w:rPr>
      </w:pPr>
      <w:r>
        <w:rPr>
          <w:rFonts w:hint="eastAsia" w:ascii="宋体" w:hAnsi="宋体" w:eastAsia="宋体" w:cs="宋体"/>
          <w:b/>
          <w:bCs/>
          <w:color w:val="auto"/>
          <w:sz w:val="24"/>
        </w:rPr>
        <w:t>四、付款</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1、付款途径：服务款由</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2、付款方式：</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3、付款时间：</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五、</w:t>
      </w:r>
      <w:r>
        <w:rPr>
          <w:rFonts w:hint="eastAsia" w:ascii="宋体" w:hAnsi="宋体" w:eastAsia="宋体" w:cs="宋体"/>
          <w:b/>
          <w:bCs/>
          <w:color w:val="auto"/>
          <w:sz w:val="24"/>
        </w:rPr>
        <w:t>时间、地点、验收方式</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1、工期：合同生效后于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以前履行服务。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2、服务地点：甲方指定地点。</w:t>
      </w:r>
    </w:p>
    <w:p>
      <w:pPr>
        <w:spacing w:line="360" w:lineRule="auto"/>
        <w:ind w:firstLine="480"/>
        <w:rPr>
          <w:rFonts w:hint="eastAsia" w:ascii="宋体" w:hAnsi="宋体" w:eastAsia="宋体" w:cs="宋体"/>
          <w:color w:val="auto"/>
          <w:sz w:val="24"/>
          <w:u w:val="single"/>
        </w:rPr>
      </w:pPr>
      <w:r>
        <w:rPr>
          <w:rFonts w:hint="eastAsia" w:ascii="宋体" w:hAnsi="宋体" w:eastAsia="宋体" w:cs="宋体"/>
          <w:color w:val="auto"/>
          <w:sz w:val="24"/>
        </w:rPr>
        <w:t>3、验收方式：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六、合同生效</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本合同须经甲乙双方签章后加盖</w:t>
      </w:r>
      <w:r>
        <w:rPr>
          <w:rFonts w:hint="eastAsia" w:ascii="宋体" w:hAnsi="宋体" w:cs="宋体"/>
          <w:color w:val="auto"/>
          <w:sz w:val="24"/>
          <w:lang w:eastAsia="zh-CN"/>
        </w:rPr>
        <w:t>招标</w:t>
      </w:r>
      <w:r>
        <w:rPr>
          <w:rFonts w:hint="eastAsia" w:ascii="宋体" w:hAnsi="宋体" w:eastAsia="宋体" w:cs="宋体"/>
          <w:color w:val="auto"/>
          <w:sz w:val="24"/>
        </w:rPr>
        <w:t xml:space="preserve">代理机构合同审核章方始生效。 </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本合同一式五份，甲方二份，乙方二份，</w:t>
      </w:r>
      <w:r>
        <w:rPr>
          <w:rFonts w:hint="eastAsia" w:ascii="宋体" w:hAnsi="宋体" w:cs="宋体"/>
          <w:color w:val="auto"/>
          <w:sz w:val="24"/>
          <w:lang w:eastAsia="zh-CN"/>
        </w:rPr>
        <w:t>招标</w:t>
      </w:r>
      <w:r>
        <w:rPr>
          <w:rFonts w:hint="eastAsia" w:ascii="宋体" w:hAnsi="宋体" w:eastAsia="宋体" w:cs="宋体"/>
          <w:color w:val="auto"/>
          <w:sz w:val="24"/>
        </w:rPr>
        <w:t>代理机构一份，具有同等法律效力。</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七、违约条款</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（1）合同一方违约，违约方向对方支付违约金，违约金额为成交金额的10%。中标人违约，直接从履约保证金中扣除；采购单位违约，从采购款项中扣除。</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（2）中标人因违约或其他可归责于中标人原因致使用户遭受损失，中标人除对甲方承担违约责任外，对用户因此所致全部损失还应予以全额赔偿。</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（3）中标人迟延履行合同、不完全履行合同或提供的服务不符合谈判文件的要求，除支付违约金外，仍应实际履行合同或重新提供符合要求的服务。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八、本合同未尽事宜，各方应本着友好合作精神协商一致，并另行签订补充协议，补充协议与合同具有同等法律效力。</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九、如本合同履行发生争议或纠纷，应通过友好协商方式予以解决，如协商不成，则由甲方住所地人民法院管辖解决。</w:t>
      </w:r>
    </w:p>
    <w:p>
      <w:pPr>
        <w:spacing w:line="360" w:lineRule="auto"/>
        <w:ind w:firstLine="48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甲    方（公章）：                     乙    方（公章）：</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法定代表人或授权代理人：               法定代表人或授权代理人：</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（签字）                              （签字）</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开户单位：                             开户单位：</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开户银行：                             开户银行：</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 xml:space="preserve">帐    号：                             帐    号： </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地    址：                             地    址：</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邮政编码：                             邮政编码：</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电    话：                             电    话：</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签订时间：                             签订时间：</w:t>
      </w:r>
    </w:p>
    <w:p>
      <w:pPr>
        <w:spacing w:line="480" w:lineRule="auto"/>
        <w:jc w:val="center"/>
        <w:outlineLvl w:val="9"/>
        <w:rPr>
          <w:rFonts w:hint="eastAsia" w:ascii="宋体" w:hAnsi="宋体" w:eastAsia="宋体" w:cs="宋体"/>
          <w:b/>
          <w:bCs/>
          <w:color w:val="auto"/>
          <w:sz w:val="24"/>
        </w:rPr>
      </w:pPr>
    </w:p>
    <w:p>
      <w:pPr>
        <w:spacing w:line="480" w:lineRule="auto"/>
        <w:jc w:val="left"/>
        <w:rPr>
          <w:rFonts w:hint="eastAsia" w:ascii="宋体" w:hAnsi="宋体" w:eastAsia="宋体" w:cs="宋体"/>
          <w:color w:val="auto"/>
          <w:sz w:val="24"/>
        </w:rPr>
      </w:pPr>
      <w:r>
        <w:rPr>
          <w:rFonts w:hint="eastAsia" w:ascii="宋体" w:hAnsi="宋体" w:eastAsia="宋体" w:cs="宋体"/>
          <w:color w:val="auto"/>
          <w:sz w:val="24"/>
        </w:rPr>
        <w:t>此处加盖代理机构合同审核章，并签署日期（同时甲方、乙方、代理机构加盖骑缝章）</w:t>
      </w:r>
    </w:p>
    <w:p>
      <w:pPr>
        <w:pStyle w:val="21"/>
        <w:rPr>
          <w:rFonts w:hint="eastAsia"/>
          <w:color w:val="auto"/>
        </w:rPr>
      </w:pPr>
    </w:p>
    <w:p>
      <w:pPr>
        <w:spacing w:line="480" w:lineRule="auto"/>
        <w:jc w:val="center"/>
        <w:outlineLvl w:val="0"/>
        <w:rPr>
          <w:rFonts w:hint="eastAsia" w:ascii="宋体" w:hAnsi="宋体" w:eastAsia="宋体" w:cs="宋体"/>
          <w:b/>
          <w:bCs/>
          <w:color w:val="auto"/>
          <w:sz w:val="32"/>
          <w:szCs w:val="32"/>
        </w:rPr>
      </w:pPr>
      <w:bookmarkStart w:id="59" w:name="_Toc28690"/>
      <w:r>
        <w:rPr>
          <w:rFonts w:hint="eastAsia" w:asciiTheme="majorEastAsia" w:hAnsiTheme="majorEastAsia" w:eastAsiaTheme="majorEastAsia" w:cstheme="majorEastAsia"/>
          <w:b/>
          <w:bCs/>
          <w:color w:val="auto"/>
          <w:sz w:val="32"/>
          <w:szCs w:val="32"/>
        </w:rPr>
        <w:t>第六部分   投标书格式</w:t>
      </w:r>
      <w:bookmarkEnd w:id="59"/>
      <w:bookmarkStart w:id="60" w:name="_Toc11356"/>
      <w:bookmarkStart w:id="61" w:name="_Toc23076"/>
      <w:bookmarkStart w:id="62" w:name="_Toc6769"/>
      <w:bookmarkStart w:id="63" w:name="_Toc18024"/>
    </w:p>
    <w:p>
      <w:pPr>
        <w:pStyle w:val="11"/>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附件一：</w:t>
      </w:r>
    </w:p>
    <w:bookmarkEnd w:id="60"/>
    <w:bookmarkEnd w:id="61"/>
    <w:bookmarkEnd w:id="62"/>
    <w:bookmarkEnd w:id="63"/>
    <w:p>
      <w:pPr>
        <w:spacing w:line="360" w:lineRule="auto"/>
        <w:ind w:firstLine="482" w:firstLineChars="200"/>
        <w:jc w:val="center"/>
        <w:outlineLvl w:val="9"/>
        <w:rPr>
          <w:rFonts w:hint="eastAsia" w:asciiTheme="minorEastAsia" w:hAnsiTheme="minorEastAsia" w:eastAsiaTheme="minorEastAsia" w:cstheme="minorEastAsia"/>
          <w:b/>
          <w:bCs/>
          <w:color w:val="auto"/>
          <w:sz w:val="24"/>
          <w:szCs w:val="24"/>
        </w:rPr>
      </w:pPr>
      <w:bookmarkStart w:id="64" w:name="_Toc417042981"/>
      <w:bookmarkStart w:id="65" w:name="_Toc23051"/>
      <w:bookmarkStart w:id="66" w:name="_Toc30951"/>
      <w:bookmarkStart w:id="67" w:name="_Toc17009"/>
      <w:bookmarkStart w:id="68" w:name="_Toc9805"/>
      <w:bookmarkStart w:id="69" w:name="_Toc9687"/>
      <w:bookmarkStart w:id="70" w:name="_Toc10451"/>
      <w:bookmarkStart w:id="71" w:name="_Toc183264346"/>
      <w:bookmarkStart w:id="72" w:name="_Toc13445"/>
      <w:bookmarkStart w:id="73" w:name="_Toc6430"/>
      <w:bookmarkStart w:id="74" w:name="_Toc15853"/>
      <w:r>
        <w:rPr>
          <w:rFonts w:hint="eastAsia" w:asciiTheme="minorEastAsia" w:hAnsiTheme="minorEastAsia" w:eastAsiaTheme="minorEastAsia" w:cstheme="minorEastAsia"/>
          <w:b/>
          <w:bCs/>
          <w:color w:val="auto"/>
          <w:sz w:val="24"/>
          <w:szCs w:val="24"/>
        </w:rPr>
        <w:t>投  标  函</w:t>
      </w:r>
      <w:bookmarkEnd w:id="64"/>
      <w:bookmarkEnd w:id="65"/>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u w:val="single"/>
        </w:rPr>
      </w:pPr>
      <w:r>
        <w:rPr>
          <w:rFonts w:hint="eastAsia" w:asciiTheme="minorEastAsia" w:hAnsiTheme="minorEastAsia" w:eastAsiaTheme="minorEastAsia" w:cstheme="minorEastAsia"/>
          <w:b w:val="0"/>
          <w:color w:val="auto"/>
          <w:sz w:val="24"/>
          <w:szCs w:val="24"/>
          <w:u w:val="single"/>
        </w:rPr>
        <w:t>致：</w:t>
      </w:r>
      <w:r>
        <w:rPr>
          <w:rFonts w:hint="eastAsia" w:asciiTheme="minorEastAsia" w:hAnsiTheme="minorEastAsia" w:eastAsiaTheme="minorEastAsia" w:cstheme="minorEastAsia"/>
          <w:b w:val="0"/>
          <w:color w:val="auto"/>
          <w:sz w:val="24"/>
          <w:szCs w:val="24"/>
          <w:u w:val="single"/>
          <w:lang w:eastAsia="zh-CN"/>
        </w:rPr>
        <w:t>招标</w:t>
      </w:r>
      <w:r>
        <w:rPr>
          <w:rFonts w:hint="eastAsia" w:asciiTheme="minorEastAsia" w:hAnsiTheme="minorEastAsia" w:eastAsiaTheme="minorEastAsia" w:cstheme="minorEastAsia"/>
          <w:b w:val="0"/>
          <w:color w:val="auto"/>
          <w:sz w:val="24"/>
          <w:szCs w:val="24"/>
          <w:u w:val="single"/>
        </w:rPr>
        <w:t>代理机构名称：</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经研究，我们决定参加项目编号为</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的（项目名称）投标活动并提交投标文件。为此，我方郑重声明以下诸点，并负法律责任。</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1、我方提交的投标文件，正本一份，副本</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份。</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2、如果我们的投标文件被接受，我们将履行</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中规定的每一项要求，并按我们投标文件中的承诺按期、按质、按量提供服务。</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3、我方承诺：未参与本项目采购需求技术规格的设计编制且与在本项目中设计编制技术规格的机构与其附属机构没有任何直接隶属关系或利益关系。</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4</w:t>
      </w:r>
      <w:r>
        <w:rPr>
          <w:rFonts w:hint="eastAsia" w:asciiTheme="minorEastAsia" w:hAnsiTheme="minorEastAsia" w:eastAsiaTheme="minorEastAsia" w:cstheme="minorEastAsia"/>
          <w:b w:val="0"/>
          <w:color w:val="auto"/>
          <w:sz w:val="24"/>
          <w:szCs w:val="24"/>
        </w:rPr>
        <w:t>、我们理解，最低报价不是中标的唯一条件，你们有选择中标人的权力。</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5</w:t>
      </w:r>
      <w:r>
        <w:rPr>
          <w:rFonts w:hint="eastAsia" w:asciiTheme="minorEastAsia" w:hAnsiTheme="minorEastAsia" w:eastAsiaTheme="minorEastAsia" w:cstheme="minorEastAsia"/>
          <w:b w:val="0"/>
          <w:color w:val="auto"/>
          <w:sz w:val="24"/>
          <w:szCs w:val="24"/>
        </w:rPr>
        <w:t>、我方愿按《中华人民共和国合同法》履行自己的全部责任。</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6</w:t>
      </w:r>
      <w:r>
        <w:rPr>
          <w:rFonts w:hint="eastAsia" w:asciiTheme="minorEastAsia" w:hAnsiTheme="minorEastAsia" w:eastAsiaTheme="minorEastAsia" w:cstheme="minorEastAsia"/>
          <w:b w:val="0"/>
          <w:color w:val="auto"/>
          <w:sz w:val="24"/>
          <w:szCs w:val="24"/>
        </w:rPr>
        <w:t>、我们同意按</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规定交纳投标保证金、中标服务费、律师见证费，遵守贵机构有关</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的各项规定。</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7、</w:t>
      </w:r>
      <w:r>
        <w:rPr>
          <w:rFonts w:hint="eastAsia" w:asciiTheme="minorEastAsia" w:hAnsiTheme="minorEastAsia" w:eastAsiaTheme="minorEastAsia" w:cstheme="minorEastAsia"/>
          <w:b w:val="0"/>
          <w:color w:val="auto"/>
          <w:sz w:val="24"/>
          <w:szCs w:val="24"/>
        </w:rPr>
        <w:t>我方若未成为中标人，贵机构有权不做任何解释。</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8</w:t>
      </w:r>
      <w:r>
        <w:rPr>
          <w:rFonts w:hint="eastAsia" w:asciiTheme="minorEastAsia" w:hAnsiTheme="minorEastAsia" w:eastAsiaTheme="minorEastAsia" w:cstheme="minorEastAsia"/>
          <w:b w:val="0"/>
          <w:color w:val="auto"/>
          <w:sz w:val="24"/>
          <w:szCs w:val="24"/>
        </w:rPr>
        <w:t>、我方的投标文件自开标之日起有效期为   日。</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9</w:t>
      </w:r>
      <w:r>
        <w:rPr>
          <w:rFonts w:hint="eastAsia" w:asciiTheme="minorEastAsia" w:hAnsiTheme="minorEastAsia" w:eastAsiaTheme="minorEastAsia" w:cstheme="minorEastAsia"/>
          <w:b w:val="0"/>
          <w:color w:val="auto"/>
          <w:sz w:val="24"/>
          <w:szCs w:val="24"/>
        </w:rPr>
        <w:t>、与本投标有关的一切正式往来通讯请寄：</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地    址：                            邮政编码：</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电    话：                            传    真：</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开户单位：                            开户银行：</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帐    号：</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w: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投标单位（印章） 法定代表人或授权代理人签字：      </w:t>
      </w:r>
    </w:p>
    <w:p>
      <w:pPr>
        <w:pStyle w:val="15"/>
        <w:tabs>
          <w:tab w:val="left" w:pos="5580"/>
        </w:tabs>
        <w:spacing w:line="360" w:lineRule="auto"/>
        <w:ind w:firstLine="480" w:firstLineChars="200"/>
        <w:jc w:val="right"/>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firstLineChars="2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color w:val="auto"/>
          <w:sz w:val="24"/>
          <w:szCs w:val="24"/>
        </w:rPr>
        <w:t>年   月   日</w:t>
      </w:r>
    </w:p>
    <w:p>
      <w:pPr>
        <w:pStyle w:val="31"/>
        <w:spacing w:line="360" w:lineRule="auto"/>
        <w:jc w:val="both"/>
        <w:outlineLvl w:val="9"/>
        <w:rPr>
          <w:rFonts w:hint="eastAsia" w:asciiTheme="minorEastAsia" w:hAnsiTheme="minorEastAsia" w:eastAsiaTheme="minorEastAsia" w:cstheme="minorEastAsia"/>
          <w:color w:val="auto"/>
          <w:sz w:val="24"/>
          <w:szCs w:val="24"/>
        </w:rPr>
      </w:pPr>
    </w:p>
    <w:p>
      <w:pPr>
        <w:pStyle w:val="31"/>
        <w:spacing w:line="360" w:lineRule="auto"/>
        <w:jc w:val="both"/>
        <w:outlineLvl w:val="9"/>
        <w:rPr>
          <w:rFonts w:hint="eastAsia" w:asciiTheme="minorEastAsia" w:hAnsiTheme="minorEastAsia" w:eastAsiaTheme="minorEastAsia" w:cstheme="minorEastAsia"/>
          <w:color w:val="auto"/>
          <w:sz w:val="24"/>
          <w:szCs w:val="24"/>
        </w:rPr>
      </w:pPr>
    </w:p>
    <w:bookmarkEnd w:id="66"/>
    <w:bookmarkEnd w:id="67"/>
    <w:bookmarkEnd w:id="68"/>
    <w:bookmarkEnd w:id="69"/>
    <w:bookmarkEnd w:id="70"/>
    <w:bookmarkEnd w:id="71"/>
    <w:bookmarkEnd w:id="72"/>
    <w:bookmarkEnd w:id="73"/>
    <w:bookmarkEnd w:id="74"/>
    <w:p>
      <w:pPr>
        <w:pStyle w:val="11"/>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附件二：</w:t>
      </w:r>
    </w:p>
    <w:p>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法定代表人身份证明</w:t>
      </w:r>
    </w:p>
    <w:p>
      <w:pPr>
        <w:spacing w:line="360" w:lineRule="auto"/>
        <w:rPr>
          <w:rFonts w:hint="eastAsia" w:asciiTheme="minorEastAsia" w:hAnsiTheme="minorEastAsia" w:eastAsiaTheme="minorEastAsia" w:cstheme="minorEastAsia"/>
          <w:color w:val="auto"/>
          <w:sz w:val="24"/>
          <w:szCs w:val="24"/>
        </w:rPr>
      </w:pPr>
    </w:p>
    <w:p>
      <w:pPr>
        <w:topLinePunct/>
        <w:snapToGrid w:val="0"/>
        <w:spacing w:line="360" w:lineRule="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rPr>
        <w:t>投标人名称：</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单位性质：</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成立时间：</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年</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月</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日</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经营期限：</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rPr>
        <w:t>姓名：</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性别：</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年龄：</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职务：</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系</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（投标人名称）的法定代表人。</w:t>
      </w:r>
    </w:p>
    <w:p>
      <w:pPr>
        <w:topLinePunct/>
        <w:snapToGrid w:val="0"/>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特此证明。</w:t>
      </w:r>
    </w:p>
    <w:p>
      <w:pPr>
        <w:topLinePunct/>
        <w:snapToGrid w:val="0"/>
        <w:spacing w:line="360" w:lineRule="auto"/>
        <w:ind w:firstLine="480" w:firstLineChars="200"/>
        <w:rPr>
          <w:rFonts w:hint="eastAsia" w:asciiTheme="minorEastAsia" w:hAnsiTheme="minorEastAsia" w:eastAsiaTheme="minorEastAsia" w:cstheme="minorEastAsia"/>
          <w:bCs/>
          <w:color w:val="auto"/>
          <w:sz w:val="24"/>
          <w:szCs w:val="24"/>
        </w:rPr>
      </w:pPr>
    </w:p>
    <w:p>
      <w:pPr>
        <w:topLinePunct/>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附：法定代表人身份证复印件</w:t>
      </w:r>
      <w:r>
        <w:rPr>
          <w:rFonts w:hint="eastAsia" w:asciiTheme="minorEastAsia" w:hAnsiTheme="minorEastAsia" w:eastAsiaTheme="minorEastAsia" w:cstheme="minorEastAsia"/>
          <w:bCs/>
          <w:color w:val="auto"/>
          <w:sz w:val="24"/>
          <w:szCs w:val="24"/>
        </w:rPr>
        <w:t>(需同时提供正面及背面)</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155315" cy="1947545"/>
                <wp:effectExtent l="4445" t="4445" r="21590" b="101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53.35pt;width:248.45pt;z-index:251659264;mso-width-relative:page;mso-height-relative:page;" fillcolor="#FFFFFF" filled="t" stroked="t" coordsize="21600,21600" o:gfxdata="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GrSstgAAAAKAQAADwAAAAAAAAAB&#10;ACAAAAAiAAAAZHJzL2Rvd25yZXYueG1sUEsBAhQAFAAAAAgAh07iQJmtV45JAgAAYQQAAA4AAAAA&#10;AAAAAQAgAAAAJwEAAGRycy9lMm9Eb2MueG1sUEsFBgAAAAAGAAYAWQEAAOIFA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-652145</wp:posOffset>
                </wp:positionH>
                <wp:positionV relativeFrom="paragraph">
                  <wp:posOffset>238760</wp:posOffset>
                </wp:positionV>
                <wp:extent cx="3179445" cy="1995170"/>
                <wp:effectExtent l="4445" t="4445" r="16510" b="19685"/>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57.1pt;width:250.35pt;z-index:251658240;mso-width-relative:page;mso-height-relative:page;" fillcolor="#FFFFFF" filled="t" stroked="t" coordsize="21600,21600" o:gfxdata="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U3QcDZAAAACwEAAA8AAAAAAAAA&#10;AQAgAAAAIgAAAGRycy9kb3ducmV2LnhtbFBLAQIUABQAAAAIAIdO4kCF02QZSQIAAGEEAAAOAAAA&#10;AAAAAAEAIAAAACgBAABkcnMvZTJvRG9jLnhtbFBLBQYAAAAABgAGAFkBAADjBQ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360" w:lineRule="auto"/>
        <w:rPr>
          <w:rFonts w:hint="eastAsia" w:asciiTheme="minorEastAsia" w:hAnsiTheme="minorEastAsia" w:eastAsiaTheme="minorEastAsia" w:cstheme="minorEastAsia"/>
          <w:color w:val="auto"/>
          <w:sz w:val="24"/>
          <w:szCs w:val="24"/>
        </w:rPr>
      </w:pPr>
    </w:p>
    <w:p>
      <w:pPr>
        <w:spacing w:line="360" w:lineRule="auto"/>
        <w:ind w:firstLine="4920" w:firstLineChars="2050"/>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（盖单位公章）</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（签字）</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日 </w:t>
      </w:r>
      <w:bookmarkStart w:id="75" w:name="_Toc417042982"/>
    </w:p>
    <w:p>
      <w:pPr>
        <w:spacing w:line="440" w:lineRule="exact"/>
        <w:rPr>
          <w:rFonts w:hint="eastAsia" w:asciiTheme="minorEastAsia" w:hAnsiTheme="minorEastAsia" w:eastAsiaTheme="minorEastAsia" w:cstheme="minorEastAsia"/>
          <w:color w:val="auto"/>
          <w:sz w:val="24"/>
          <w:szCs w:val="24"/>
        </w:rPr>
      </w:pPr>
    </w:p>
    <w:p>
      <w:pPr>
        <w:pStyle w:val="21"/>
        <w:rPr>
          <w:rFonts w:hint="eastAsia"/>
          <w:color w:val="auto"/>
        </w:rPr>
      </w:pPr>
    </w:p>
    <w:p>
      <w:pPr>
        <w:spacing w:line="440" w:lineRule="exact"/>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b/>
          <w:bCs/>
          <w:color w:val="auto"/>
          <w:sz w:val="24"/>
          <w:szCs w:val="24"/>
        </w:rPr>
      </w:pPr>
      <w:bookmarkStart w:id="76" w:name="_Toc2231"/>
      <w:r>
        <w:rPr>
          <w:rFonts w:hint="eastAsia" w:asciiTheme="minorEastAsia" w:hAnsiTheme="minorEastAsia" w:eastAsiaTheme="minorEastAsia" w:cstheme="minorEastAsia"/>
          <w:b/>
          <w:bCs/>
          <w:color w:val="auto"/>
          <w:sz w:val="24"/>
          <w:szCs w:val="24"/>
        </w:rPr>
        <w:t>法定代表人授权书</w:t>
      </w:r>
      <w:bookmarkEnd w:id="75"/>
      <w:bookmarkEnd w:id="76"/>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本授权书声明：注册于 </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（国家或地区的名称）的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（公司名称）的在下面签字的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（法定代表人姓名、职务）代表本公司授权在下面签字的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（授权代理人的姓名、职务）为本公司的合法代理人，就贵方组织</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的项目（项目编号：     ），以本公司名义处理一切与之有关的事务。</w:t>
      </w:r>
    </w:p>
    <w:p>
      <w:pPr>
        <w:pStyle w:val="15"/>
        <w:tabs>
          <w:tab w:val="left" w:pos="5580"/>
        </w:tabs>
        <w:spacing w:line="360" w:lineRule="auto"/>
        <w:ind w:firstLine="482"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231140</wp:posOffset>
                </wp:positionV>
                <wp:extent cx="3589020" cy="2121535"/>
                <wp:effectExtent l="5080" t="4445" r="6350" b="7620"/>
                <wp:wrapNone/>
                <wp:docPr id="3" name="文本框 3"/>
                <wp:cNvGraphicFramePr/>
                <a:graphic xmlns:a="http://schemas.openxmlformats.org/drawingml/2006/main">
                  <a:graphicData uri="http://schemas.microsoft.com/office/word/2010/wordprocessingShape">
                    <wps:wsp>
                      <wps:cNvSpPr txBox="1"/>
                      <wps:spPr>
                        <a:xfrm>
                          <a:off x="0" y="0"/>
                          <a:ext cx="3589020" cy="2121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rPr>
                            </w:pPr>
                          </w:p>
                          <w:p>
                            <w:pPr>
                              <w:jc w:val="both"/>
                              <w:rPr>
                                <w:rFonts w:hint="eastAsia"/>
                              </w:rPr>
                            </w:pPr>
                          </w:p>
                          <w:p>
                            <w:pPr>
                              <w:jc w:val="both"/>
                              <w:rPr>
                                <w:rFonts w:hint="eastAsia"/>
                              </w:rPr>
                            </w:pPr>
                          </w:p>
                          <w:p>
                            <w:pPr>
                              <w:ind w:firstLine="1080" w:firstLineChars="45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附代理人身份证复印件（正反面）</w:t>
                            </w:r>
                          </w:p>
                          <w:p>
                            <w:pPr>
                              <w:jc w:val="both"/>
                            </w:pPr>
                          </w:p>
                        </w:txbxContent>
                      </wps:txbx>
                      <wps:bodyPr upright="1"/>
                    </wps:wsp>
                  </a:graphicData>
                </a:graphic>
              </wp:anchor>
            </w:drawing>
          </mc:Choice>
          <mc:Fallback>
            <w:pict>
              <v:shape id="_x0000_s1026" o:spid="_x0000_s1026" o:spt="202" type="#_x0000_t202" style="position:absolute;left:0pt;margin-left:60pt;margin-top:18.2pt;height:167.05pt;width:282.6pt;z-index:251660288;mso-width-relative:page;mso-height-relative:page;" fillcolor="#FFFFFF" filled="t" stroked="t" coordsize="21600,21600" o:gfxdata="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Q1/SdgAAAAKAQAADwAAAAAAAAABACAAAAAiAAAAZHJzL2Rvd25yZXYueG1sUEsBAhQA&#10;FAAAAAgAh07iQG/scYXyAQAA6QMAAA4AAAAAAAAAAQAgAAAAJwEAAGRycy9lMm9Eb2MueG1sUEsF&#10;BgAAAAAGAAYAWQEAAIsFAAAAAA==&#10;">
                <v:fill on="t" focussize="0,0"/>
                <v:stroke color="#000000" joinstyle="miter"/>
                <v:imagedata o:title=""/>
                <o:lock v:ext="edit" aspectratio="f"/>
                <v:textbox>
                  <w:txbxContent>
                    <w:p>
                      <w:pPr>
                        <w:jc w:val="both"/>
                        <w:rPr>
                          <w:rFonts w:hint="eastAsia"/>
                        </w:rPr>
                      </w:pPr>
                    </w:p>
                    <w:p>
                      <w:pPr>
                        <w:jc w:val="both"/>
                        <w:rPr>
                          <w:rFonts w:hint="eastAsia"/>
                        </w:rPr>
                      </w:pPr>
                    </w:p>
                    <w:p>
                      <w:pPr>
                        <w:jc w:val="both"/>
                        <w:rPr>
                          <w:rFonts w:hint="eastAsia"/>
                        </w:rPr>
                      </w:pPr>
                    </w:p>
                    <w:p>
                      <w:pPr>
                        <w:ind w:firstLine="1080" w:firstLineChars="45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附代理人身份证复印件（正反面）</w:t>
                      </w:r>
                    </w:p>
                    <w:p>
                      <w:pPr>
                        <w:jc w:val="both"/>
                      </w:pPr>
                    </w:p>
                  </w:txbxContent>
                </v:textbox>
              </v:shape>
            </w:pict>
          </mc:Fallback>
        </mc:AlternateContent>
      </w: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本授权书于__________年_____月______日签字生效，特此声明。</w:t>
      </w: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投标人全称（公章）：</w:t>
      </w: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法定代表人签字________________</w:t>
      </w:r>
    </w:p>
    <w:p>
      <w:pPr>
        <w:pStyle w:val="15"/>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被授权人签字__________________</w:t>
      </w:r>
    </w:p>
    <w:p>
      <w:pPr>
        <w:pStyle w:val="11"/>
        <w:spacing w:line="460" w:lineRule="exact"/>
        <w:jc w:val="both"/>
        <w:rPr>
          <w:rFonts w:hint="eastAsia" w:asciiTheme="minorEastAsia" w:hAnsiTheme="minorEastAsia" w:eastAsiaTheme="minorEastAsia" w:cstheme="minorEastAsia"/>
          <w:color w:val="auto"/>
          <w:sz w:val="24"/>
          <w:szCs w:val="24"/>
        </w:rPr>
      </w:pPr>
      <w:bookmarkStart w:id="77" w:name="_Toc1045"/>
    </w:p>
    <w:p>
      <w:pPr>
        <w:pStyle w:val="31"/>
        <w:spacing w:line="360" w:lineRule="auto"/>
        <w:jc w:val="both"/>
        <w:outlineLvl w:val="9"/>
        <w:rPr>
          <w:rFonts w:hint="eastAsia" w:asciiTheme="minorEastAsia" w:hAnsiTheme="minorEastAsia" w:eastAsiaTheme="minorEastAsia" w:cstheme="minorEastAsia"/>
          <w:color w:val="auto"/>
          <w:sz w:val="24"/>
          <w:szCs w:val="24"/>
        </w:rPr>
      </w:pPr>
      <w:bookmarkStart w:id="78" w:name="_Toc29541"/>
      <w:bookmarkStart w:id="79" w:name="_Toc22430"/>
      <w:bookmarkStart w:id="80" w:name="_Toc14899"/>
      <w:bookmarkStart w:id="81" w:name="_Toc1761"/>
      <w:bookmarkStart w:id="82" w:name="_Toc16985"/>
      <w:bookmarkStart w:id="83" w:name="_Toc27943"/>
      <w:bookmarkStart w:id="84" w:name="_Toc29274"/>
      <w:bookmarkStart w:id="85" w:name="_Toc7927"/>
    </w:p>
    <w:p>
      <w:pPr>
        <w:pStyle w:val="31"/>
        <w:spacing w:line="360" w:lineRule="auto"/>
        <w:jc w:val="both"/>
        <w:outlineLvl w:val="9"/>
        <w:rPr>
          <w:rFonts w:hint="eastAsia" w:asciiTheme="minorEastAsia" w:hAnsiTheme="minorEastAsia" w:eastAsiaTheme="minorEastAsia" w:cstheme="minorEastAsia"/>
          <w:color w:val="auto"/>
          <w:sz w:val="24"/>
          <w:szCs w:val="24"/>
        </w:rPr>
      </w:pPr>
    </w:p>
    <w:p>
      <w:pPr>
        <w:pStyle w:val="31"/>
        <w:spacing w:line="360" w:lineRule="auto"/>
        <w:jc w:val="both"/>
        <w:outlineLvl w:val="9"/>
        <w:rPr>
          <w:rFonts w:hint="eastAsia" w:asciiTheme="minorEastAsia" w:hAnsiTheme="minorEastAsia" w:eastAsiaTheme="minorEastAsia" w:cstheme="minorEastAsia"/>
          <w:color w:val="auto"/>
          <w:sz w:val="24"/>
          <w:szCs w:val="24"/>
        </w:rPr>
      </w:pPr>
    </w:p>
    <w:bookmarkEnd w:id="77"/>
    <w:bookmarkEnd w:id="78"/>
    <w:bookmarkEnd w:id="79"/>
    <w:bookmarkEnd w:id="80"/>
    <w:bookmarkEnd w:id="81"/>
    <w:bookmarkEnd w:id="82"/>
    <w:bookmarkEnd w:id="83"/>
    <w:bookmarkEnd w:id="84"/>
    <w:bookmarkEnd w:id="85"/>
    <w:p>
      <w:pPr>
        <w:pStyle w:val="11"/>
        <w:rPr>
          <w:rFonts w:hint="eastAsia" w:asciiTheme="minorEastAsia" w:hAnsiTheme="minorEastAsia" w:eastAsiaTheme="minorEastAsia" w:cstheme="minorEastAsia"/>
          <w:color w:val="auto"/>
          <w:sz w:val="24"/>
          <w:szCs w:val="24"/>
        </w:rPr>
      </w:pPr>
      <w:bookmarkStart w:id="86" w:name="_Toc15824"/>
      <w:bookmarkStart w:id="87" w:name="_Toc24576"/>
      <w:bookmarkStart w:id="88" w:name="_Toc19728"/>
      <w:bookmarkStart w:id="89" w:name="_Toc7367"/>
      <w:bookmarkStart w:id="90" w:name="_Toc4564"/>
      <w:bookmarkStart w:id="91" w:name="_Toc14049"/>
    </w:p>
    <w:p>
      <w:pPr>
        <w:pStyle w:val="11"/>
        <w:rPr>
          <w:rFonts w:hint="eastAsia" w:asciiTheme="minorEastAsia" w:hAnsiTheme="minorEastAsia" w:eastAsiaTheme="minorEastAsia" w:cstheme="minorEastAsia"/>
          <w:color w:val="auto"/>
          <w:sz w:val="24"/>
          <w:szCs w:val="24"/>
        </w:rPr>
      </w:pPr>
    </w:p>
    <w:p>
      <w:pPr>
        <w:pStyle w:val="12"/>
        <w:rPr>
          <w:rFonts w:hint="eastAsia" w:asciiTheme="minorEastAsia" w:hAnsiTheme="minorEastAsia" w:eastAsiaTheme="minorEastAsia" w:cstheme="minorEastAsia"/>
          <w:color w:val="auto"/>
          <w:sz w:val="24"/>
          <w:szCs w:val="24"/>
        </w:rPr>
      </w:pPr>
    </w:p>
    <w:p>
      <w:pPr>
        <w:pStyle w:val="12"/>
        <w:rPr>
          <w:rFonts w:hint="eastAsia" w:asciiTheme="minorEastAsia" w:hAnsiTheme="minorEastAsia" w:eastAsiaTheme="minorEastAsia" w:cstheme="minorEastAsia"/>
          <w:color w:val="auto"/>
          <w:sz w:val="24"/>
          <w:szCs w:val="24"/>
        </w:rPr>
      </w:pPr>
    </w:p>
    <w:p>
      <w:pPr>
        <w:pStyle w:val="12"/>
        <w:rPr>
          <w:rFonts w:hint="eastAsia" w:asciiTheme="minorEastAsia" w:hAnsiTheme="minorEastAsia" w:eastAsiaTheme="minorEastAsia" w:cstheme="minorEastAsia"/>
          <w:color w:val="auto"/>
          <w:sz w:val="24"/>
          <w:szCs w:val="24"/>
        </w:rPr>
      </w:pPr>
    </w:p>
    <w:p>
      <w:pPr>
        <w:pStyle w:val="12"/>
        <w:rPr>
          <w:rFonts w:hint="eastAsia" w:asciiTheme="minorEastAsia" w:hAnsiTheme="minorEastAsia" w:eastAsiaTheme="minorEastAsia" w:cstheme="minorEastAsia"/>
          <w:color w:val="auto"/>
          <w:sz w:val="24"/>
          <w:szCs w:val="24"/>
        </w:rPr>
      </w:pPr>
    </w:p>
    <w:p>
      <w:pPr>
        <w:pStyle w:val="1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附件三：</w:t>
      </w:r>
    </w:p>
    <w:bookmarkEnd w:id="86"/>
    <w:bookmarkEnd w:id="87"/>
    <w:bookmarkEnd w:id="88"/>
    <w:bookmarkEnd w:id="89"/>
    <w:bookmarkEnd w:id="90"/>
    <w:bookmarkEnd w:id="91"/>
    <w:p>
      <w:pPr>
        <w:pageBreakBefore w:val="0"/>
        <w:widowControl w:val="0"/>
        <w:kinsoku/>
        <w:wordWrap/>
        <w:overflowPunct/>
        <w:topLinePunct w:val="0"/>
        <w:bidi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lang w:eastAsia="zh-CN"/>
        </w:rPr>
      </w:pPr>
      <w:bookmarkStart w:id="92" w:name="_Toc20220"/>
      <w:bookmarkStart w:id="93" w:name="_Toc417042983"/>
      <w:r>
        <w:rPr>
          <w:rFonts w:hint="eastAsia" w:asciiTheme="minorEastAsia" w:hAnsiTheme="minorEastAsia" w:eastAsiaTheme="minorEastAsia" w:cstheme="minorEastAsia"/>
          <w:color w:val="auto"/>
          <w:sz w:val="24"/>
          <w:szCs w:val="24"/>
          <w:lang w:eastAsia="zh-CN"/>
        </w:rPr>
        <w:t>报</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价</w:t>
      </w:r>
      <w:r>
        <w:rPr>
          <w:rFonts w:hint="eastAsia" w:asciiTheme="minorEastAsia" w:hAnsiTheme="minorEastAsia" w:eastAsiaTheme="minorEastAsia" w:cstheme="minorEastAsia"/>
          <w:color w:val="auto"/>
          <w:sz w:val="24"/>
          <w:szCs w:val="24"/>
        </w:rPr>
        <w:t xml:space="preserve"> 一 览 表</w:t>
      </w:r>
      <w:bookmarkEnd w:id="92"/>
      <w:bookmarkEnd w:id="93"/>
    </w:p>
    <w:p>
      <w:pPr>
        <w:pageBreakBefore w:val="0"/>
        <w:widowControl w:val="0"/>
        <w:kinsoku/>
        <w:wordWrap/>
        <w:overflowPunct/>
        <w:topLinePunct w:val="0"/>
        <w:bidi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val="0"/>
          <w:color w:val="auto"/>
          <w:sz w:val="24"/>
          <w:szCs w:val="24"/>
        </w:rPr>
      </w:pPr>
      <w:bookmarkStart w:id="94" w:name="_Toc13572"/>
      <w:r>
        <w:rPr>
          <w:rFonts w:hint="eastAsia" w:asciiTheme="minorEastAsia" w:hAnsiTheme="minorEastAsia" w:eastAsiaTheme="minorEastAsia" w:cstheme="minorEastAsia"/>
          <w:bCs w:val="0"/>
          <w:color w:val="auto"/>
          <w:sz w:val="24"/>
          <w:szCs w:val="24"/>
        </w:rPr>
        <w:t>（须单独密封，用于公开唱标）</w:t>
      </w:r>
      <w:bookmarkEnd w:id="94"/>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投标人名称（盖章）：</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sz w:val="24"/>
          <w:szCs w:val="24"/>
        </w:rPr>
        <w:t>法定代表人或授权代表签字：</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单位：</w:t>
      </w:r>
      <w:r>
        <w:rPr>
          <w:rFonts w:hint="eastAsia" w:asciiTheme="minorEastAsia" w:hAnsiTheme="minorEastAsia" w:eastAsiaTheme="minorEastAsia" w:cstheme="minorEastAsia"/>
          <w:color w:val="auto"/>
          <w:sz w:val="24"/>
          <w:szCs w:val="24"/>
          <w:lang w:eastAsia="zh-CN"/>
        </w:rPr>
        <w:t>元</w:t>
      </w:r>
    </w:p>
    <w:tbl>
      <w:tblPr>
        <w:tblStyle w:val="2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473" w:type="dxa"/>
            <w:vMerge w:val="restart"/>
            <w:vAlign w:val="center"/>
          </w:tcPr>
          <w:p>
            <w:pPr>
              <w:jc w:val="center"/>
              <w:rPr>
                <w:rFonts w:hint="eastAsia" w:asciiTheme="minorEastAsia" w:hAnsiTheme="minorEastAsia" w:eastAsiaTheme="minorEastAsia" w:cstheme="minorEastAsia"/>
                <w:bCs/>
                <w:color w:val="auto"/>
                <w:sz w:val="24"/>
                <w:szCs w:val="24"/>
              </w:rPr>
            </w:pPr>
            <w:r>
              <w:rPr>
                <w:color w:val="auto"/>
                <w:sz w:val="24"/>
              </w:rPr>
              <w:t>磋商前基础报价（总价）</w:t>
            </w:r>
          </w:p>
        </w:tc>
        <w:tc>
          <w:tcPr>
            <w:tcW w:w="6807" w:type="dxa"/>
            <w:vAlign w:val="center"/>
          </w:tcPr>
          <w:p>
            <w:pP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73" w:type="dxa"/>
            <w:vMerge w:val="continue"/>
            <w:vAlign w:val="center"/>
          </w:tcPr>
          <w:p>
            <w:pPr>
              <w:jc w:val="center"/>
              <w:rPr>
                <w:rFonts w:hint="eastAsia" w:asciiTheme="minorEastAsia" w:hAnsiTheme="minorEastAsia" w:eastAsiaTheme="minorEastAsia" w:cstheme="minorEastAsia"/>
                <w:bCs/>
                <w:color w:val="auto"/>
                <w:sz w:val="24"/>
                <w:szCs w:val="24"/>
              </w:rPr>
            </w:pPr>
          </w:p>
        </w:tc>
        <w:tc>
          <w:tcPr>
            <w:tcW w:w="6807" w:type="dxa"/>
            <w:vAlign w:val="center"/>
          </w:tcPr>
          <w:p>
            <w:pP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1473" w:type="dxa"/>
            <w:vAlign w:val="center"/>
          </w:tcPr>
          <w:p>
            <w:pPr>
              <w:jc w:val="center"/>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项目负责人</w:t>
            </w:r>
          </w:p>
        </w:tc>
        <w:tc>
          <w:tcPr>
            <w:tcW w:w="6807" w:type="dxa"/>
            <w:vAlign w:val="center"/>
          </w:tcPr>
          <w:p>
            <w:pPr>
              <w:spacing w:line="360" w:lineRule="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姓名：</w:t>
            </w:r>
          </w:p>
          <w:p>
            <w:pPr>
              <w:pStyle w:val="21"/>
              <w:spacing w:line="360" w:lineRule="auto"/>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lang w:eastAsia="zh-CN"/>
              </w:rPr>
              <w:t>证书及编号：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473" w:type="dxa"/>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工期</w:t>
            </w:r>
          </w:p>
        </w:tc>
        <w:tc>
          <w:tcPr>
            <w:tcW w:w="6807" w:type="dxa"/>
            <w:vAlign w:val="center"/>
          </w:tcPr>
          <w:p>
            <w:pPr>
              <w:spacing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473"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对招标文件</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及合同条款</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的认同程度</w:t>
            </w:r>
          </w:p>
        </w:tc>
        <w:tc>
          <w:tcPr>
            <w:tcW w:w="6807" w:type="dxa"/>
            <w:tcBorders>
              <w:bottom w:val="single" w:color="auto" w:sz="4" w:space="0"/>
            </w:tcBorders>
            <w:vAlign w:val="center"/>
          </w:tcPr>
          <w:p>
            <w:pPr>
              <w:spacing w:line="4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473" w:type="dxa"/>
            <w:tcBorders>
              <w:bottom w:val="single" w:color="auto" w:sz="4" w:space="0"/>
            </w:tcBorders>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授权代表现场签字确认</w:t>
            </w:r>
          </w:p>
        </w:tc>
        <w:tc>
          <w:tcPr>
            <w:tcW w:w="6807" w:type="dxa"/>
            <w:tcBorders>
              <w:bottom w:val="single" w:color="auto" w:sz="4" w:space="0"/>
            </w:tcBorders>
            <w:vAlign w:val="center"/>
          </w:tcPr>
          <w:p>
            <w:pPr>
              <w:spacing w:line="4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280" w:type="dxa"/>
            <w:gridSpan w:val="2"/>
            <w:tcBorders>
              <w:bottom w:val="single" w:color="auto" w:sz="4" w:space="0"/>
            </w:tcBorders>
            <w:vAlign w:val="center"/>
          </w:tcPr>
          <w:p>
            <w:pPr>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此唱标单内容尽量充实,但不要加附页，一式</w:t>
            </w:r>
            <w:r>
              <w:rPr>
                <w:rFonts w:hint="eastAsia" w:asciiTheme="minorEastAsia" w:hAnsiTheme="minorEastAsia" w:eastAsiaTheme="minorEastAsia" w:cstheme="minorEastAsia"/>
                <w:color w:val="auto"/>
                <w:sz w:val="24"/>
                <w:szCs w:val="24"/>
                <w:u w:val="single"/>
              </w:rPr>
              <w:t>三</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u w:val="single"/>
              </w:rPr>
              <w:t>三</w:t>
            </w:r>
            <w:r>
              <w:rPr>
                <w:rFonts w:hint="eastAsia" w:asciiTheme="minorEastAsia" w:hAnsiTheme="minorEastAsia" w:eastAsiaTheme="minorEastAsia" w:cstheme="minorEastAsia"/>
                <w:color w:val="auto"/>
                <w:sz w:val="24"/>
                <w:szCs w:val="24"/>
              </w:rPr>
              <w:t>份单独密封（与投标文件同时递交）。</w:t>
            </w:r>
          </w:p>
        </w:tc>
      </w:tr>
    </w:tbl>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备注：本开标一览表必须单独密封（一式三份），否则按无效投标处理。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本项目为交钥匙工程。</w:t>
      </w:r>
      <w:r>
        <w:rPr>
          <w:rFonts w:hint="eastAsia" w:asciiTheme="minorEastAsia" w:hAnsiTheme="minorEastAsia" w:eastAsiaTheme="minorEastAsia" w:cstheme="minorEastAsia"/>
          <w:color w:val="auto"/>
          <w:sz w:val="24"/>
          <w:szCs w:val="24"/>
        </w:rPr>
        <w:t xml:space="preserve">      </w:t>
      </w:r>
    </w:p>
    <w:p>
      <w:pPr>
        <w:pStyle w:val="8"/>
        <w:ind w:right="324" w:rightChars="135"/>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                                                  </w:t>
      </w:r>
    </w:p>
    <w:p>
      <w:pPr>
        <w:pStyle w:val="8"/>
        <w:ind w:right="324" w:rightChars="135"/>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月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日</w:t>
      </w:r>
    </w:p>
    <w:p>
      <w:pPr>
        <w:pStyle w:val="8"/>
        <w:ind w:right="324" w:rightChars="135"/>
        <w:jc w:val="both"/>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21"/>
        <w:rPr>
          <w:rFonts w:hint="eastAsia"/>
          <w:color w:val="auto"/>
        </w:rPr>
      </w:pPr>
    </w:p>
    <w:p>
      <w:pPr>
        <w:pStyle w:val="8"/>
        <w:ind w:right="324" w:rightChars="135"/>
        <w:jc w:val="both"/>
        <w:rPr>
          <w:rFonts w:hint="eastAsia" w:asciiTheme="minorEastAsia" w:hAnsiTheme="minorEastAsia" w:eastAsiaTheme="minorEastAsia" w:cstheme="minorEastAsia"/>
          <w:color w:val="auto"/>
          <w:sz w:val="24"/>
          <w:szCs w:val="24"/>
        </w:rPr>
      </w:pPr>
    </w:p>
    <w:p>
      <w:pPr>
        <w:pStyle w:val="5"/>
        <w:spacing w:line="360" w:lineRule="auto"/>
        <w:jc w:val="center"/>
        <w:rPr>
          <w:rFonts w:hint="eastAsia" w:ascii="宋体" w:hAnsi="宋体" w:eastAsia="宋体" w:cs="宋体"/>
          <w:b w:val="0"/>
          <w:bCs w:val="0"/>
          <w:spacing w:val="6"/>
          <w:kern w:val="0"/>
          <w:szCs w:val="20"/>
        </w:rPr>
      </w:pPr>
      <w:r>
        <w:rPr>
          <w:rFonts w:hint="eastAsia" w:asciiTheme="minorEastAsia" w:hAnsiTheme="minorEastAsia" w:eastAsiaTheme="minorEastAsia" w:cstheme="minorEastAsia"/>
          <w:b/>
          <w:bCs/>
          <w:sz w:val="24"/>
          <w:szCs w:val="24"/>
          <w:lang w:eastAsia="zh-CN"/>
        </w:rPr>
        <w:t>报价明细表</w:t>
      </w:r>
    </w:p>
    <w:p>
      <w:pPr>
        <w:pStyle w:val="13"/>
        <w:spacing w:before="120" w:beforeLines="50"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项目编号：</w:t>
      </w:r>
    </w:p>
    <w:p>
      <w:pPr>
        <w:pStyle w:val="13"/>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供应商名称：（公章）</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法定代表人或授权代理人签字：</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w:t>
      </w:r>
    </w:p>
    <w:p>
      <w:pPr>
        <w:autoSpaceDE w:val="0"/>
        <w:autoSpaceDN w:val="0"/>
        <w:adjustRightInd w:val="0"/>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zh-CN"/>
        </w:rPr>
        <w:t>单位：人民币元</w:t>
      </w:r>
    </w:p>
    <w:tbl>
      <w:tblPr>
        <w:tblStyle w:val="22"/>
        <w:tblW w:w="8453" w:type="dxa"/>
        <w:jc w:val="center"/>
        <w:tblLayout w:type="fixed"/>
        <w:tblCellMar>
          <w:top w:w="0" w:type="dxa"/>
          <w:left w:w="108" w:type="dxa"/>
          <w:bottom w:w="0" w:type="dxa"/>
          <w:right w:w="108" w:type="dxa"/>
        </w:tblCellMar>
      </w:tblPr>
      <w:tblGrid>
        <w:gridCol w:w="1053"/>
        <w:gridCol w:w="1743"/>
        <w:gridCol w:w="3582"/>
        <w:gridCol w:w="850"/>
        <w:gridCol w:w="1225"/>
      </w:tblGrid>
      <w:tr>
        <w:tblPrEx>
          <w:tblCellMar>
            <w:top w:w="0" w:type="dxa"/>
            <w:left w:w="108" w:type="dxa"/>
            <w:bottom w:w="0" w:type="dxa"/>
            <w:right w:w="108" w:type="dxa"/>
          </w:tblCellMar>
        </w:tblPrEx>
        <w:trPr>
          <w:trHeight w:val="429" w:hRule="atLeast"/>
          <w:jc w:val="center"/>
        </w:trPr>
        <w:tc>
          <w:tcPr>
            <w:tcW w:w="1053" w:type="dxa"/>
            <w:tcBorders>
              <w:top w:val="single" w:color="auto" w:sz="4" w:space="0"/>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序号</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费用名称</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金 额</w:t>
            </w: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备 注</w:t>
            </w: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直接成本</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现场服务人员工资</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3"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差旅费、补助费、食宿费、交通费等用于本项目其他专项开支</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间接成本</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3"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公司管理人员工资</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行政办公费</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7</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业务培训费</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3"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9</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利润</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10</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税金</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11</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其他费用（需注明费用名称）</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3" w:hRule="atLeast"/>
          <w:jc w:val="center"/>
        </w:trPr>
        <w:tc>
          <w:tcPr>
            <w:tcW w:w="2796"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ind w:left="0" w:leftChars="-38" w:right="-82" w:rightChars="-34" w:hanging="91" w:hangingChars="38"/>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rPr>
              <w:t>服务费综合单价（元）：</w:t>
            </w:r>
          </w:p>
        </w:tc>
        <w:tc>
          <w:tcPr>
            <w:tcW w:w="5657" w:type="dxa"/>
            <w:gridSpan w:val="3"/>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lang w:eastAsia="zh-CN"/>
              </w:rPr>
              <w:t>此表可按格式扩展，内容尽量充实。</w:t>
            </w:r>
          </w:p>
        </w:tc>
      </w:tr>
    </w:tbl>
    <w:p>
      <w:pPr>
        <w:spacing w:before="120" w:before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注：</w:t>
      </w:r>
      <w:r>
        <w:rPr>
          <w:rFonts w:hint="eastAsia"/>
          <w:lang w:eastAsia="zh-CN"/>
        </w:rPr>
        <w:t>此表可按格式扩展，内容尽量充实。</w:t>
      </w:r>
      <w:r>
        <w:rPr>
          <w:rFonts w:hint="eastAsia" w:asciiTheme="minorEastAsia" w:hAnsiTheme="minorEastAsia" w:eastAsiaTheme="minorEastAsia" w:cstheme="minorEastAsia"/>
          <w:sz w:val="24"/>
          <w:szCs w:val="24"/>
        </w:rPr>
        <w:t xml:space="preserve">                                     </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供应商（盖章）：                                   </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法定代表人或授权代表（签字或盖章）：      </w:t>
      </w:r>
    </w:p>
    <w:p>
      <w:pPr>
        <w:adjustRightInd w:val="0"/>
        <w:snapToGrid w:val="0"/>
        <w:spacing w:line="360" w:lineRule="auto"/>
        <w:rPr>
          <w:rFonts w:hint="eastAsia" w:asciiTheme="minorEastAsia" w:hAnsiTheme="minorEastAsia" w:eastAsiaTheme="minorEastAsia" w:cstheme="minorEastAsia"/>
          <w:sz w:val="24"/>
          <w:szCs w:val="24"/>
        </w:rPr>
      </w:pP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ind w:right="324" w:rightChars="13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8"/>
        <w:ind w:right="324" w:rightChars="135"/>
        <w:jc w:val="both"/>
        <w:rPr>
          <w:rFonts w:hint="eastAsia" w:asciiTheme="minorEastAsia" w:hAnsiTheme="minorEastAsia" w:eastAsiaTheme="minorEastAsia" w:cstheme="minorEastAsia"/>
          <w:color w:val="auto"/>
          <w:sz w:val="24"/>
          <w:szCs w:val="24"/>
        </w:rPr>
      </w:pPr>
    </w:p>
    <w:p>
      <w:pPr>
        <w:pStyle w:val="8"/>
        <w:ind w:right="324" w:rightChars="135"/>
        <w:jc w:val="both"/>
        <w:rPr>
          <w:rFonts w:hint="eastAsia" w:asciiTheme="minorEastAsia" w:hAnsiTheme="minorEastAsia" w:eastAsiaTheme="minorEastAsia" w:cstheme="minorEastAsia"/>
          <w:color w:val="auto"/>
          <w:sz w:val="24"/>
          <w:szCs w:val="24"/>
        </w:rPr>
      </w:pPr>
    </w:p>
    <w:p>
      <w:pPr>
        <w:pStyle w:val="8"/>
        <w:ind w:right="324" w:rightChars="135"/>
        <w:jc w:val="both"/>
        <w:rPr>
          <w:rFonts w:hint="eastAsia" w:asciiTheme="minorEastAsia" w:hAnsiTheme="minorEastAsia" w:eastAsiaTheme="minorEastAsia" w:cstheme="minorEastAsia"/>
          <w:color w:val="auto"/>
          <w:sz w:val="24"/>
          <w:szCs w:val="24"/>
        </w:rPr>
      </w:pPr>
    </w:p>
    <w:p>
      <w:pPr>
        <w:pStyle w:val="8"/>
        <w:ind w:right="324" w:rightChars="135"/>
        <w:jc w:val="both"/>
        <w:rPr>
          <w:rFonts w:hint="eastAsia" w:asciiTheme="minorEastAsia" w:hAnsiTheme="minorEastAsia" w:eastAsiaTheme="minorEastAsia" w:cstheme="minorEastAsia"/>
          <w:color w:val="auto"/>
          <w:sz w:val="24"/>
          <w:szCs w:val="24"/>
        </w:rPr>
      </w:pPr>
    </w:p>
    <w:p>
      <w:pPr>
        <w:pStyle w:val="8"/>
        <w:ind w:right="324" w:rightChars="135"/>
        <w:jc w:val="both"/>
        <w:rPr>
          <w:rFonts w:hint="eastAsia" w:asciiTheme="minorEastAsia" w:hAnsiTheme="minorEastAsia" w:eastAsiaTheme="minorEastAsia" w:cstheme="minorEastAsia"/>
          <w:color w:val="auto"/>
          <w:sz w:val="24"/>
          <w:szCs w:val="24"/>
        </w:rPr>
      </w:pPr>
    </w:p>
    <w:p>
      <w:pPr>
        <w:pStyle w:val="8"/>
        <w:ind w:right="324" w:rightChars="135"/>
        <w:jc w:val="both"/>
        <w:rPr>
          <w:rFonts w:hint="eastAsia" w:asciiTheme="minorEastAsia" w:hAnsiTheme="minorEastAsia" w:eastAsiaTheme="minorEastAsia" w:cstheme="minorEastAsia"/>
          <w:color w:val="auto"/>
          <w:sz w:val="24"/>
          <w:szCs w:val="24"/>
        </w:rPr>
      </w:pPr>
    </w:p>
    <w:p>
      <w:pPr>
        <w:pStyle w:val="8"/>
        <w:ind w:right="324" w:rightChars="135"/>
        <w:jc w:val="both"/>
        <w:rPr>
          <w:rFonts w:hint="eastAsia" w:asciiTheme="minorEastAsia" w:hAnsiTheme="minorEastAsia" w:eastAsiaTheme="minorEastAsia" w:cstheme="minorEastAsia"/>
          <w:color w:val="auto"/>
          <w:sz w:val="24"/>
          <w:szCs w:val="24"/>
        </w:rPr>
      </w:pPr>
    </w:p>
    <w:p>
      <w:pPr>
        <w:pStyle w:val="8"/>
        <w:ind w:right="324" w:rightChars="135"/>
        <w:jc w:val="both"/>
        <w:rPr>
          <w:rFonts w:hint="eastAsia" w:asciiTheme="minorEastAsia" w:hAnsiTheme="minorEastAsia" w:eastAsiaTheme="minorEastAsia" w:cstheme="minorEastAsia"/>
          <w:color w:val="auto"/>
          <w:sz w:val="24"/>
          <w:szCs w:val="24"/>
        </w:rPr>
      </w:pPr>
    </w:p>
    <w:p>
      <w:pPr>
        <w:pStyle w:val="8"/>
        <w:ind w:right="324" w:rightChars="13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附件四：</w:t>
      </w:r>
    </w:p>
    <w:p>
      <w:pPr>
        <w:jc w:val="center"/>
        <w:outlineLvl w:val="9"/>
        <w:rPr>
          <w:rFonts w:hint="eastAsia" w:asciiTheme="minorEastAsia" w:hAnsiTheme="minorEastAsia" w:eastAsiaTheme="minorEastAsia" w:cstheme="minorEastAsia"/>
          <w:color w:val="auto"/>
          <w:sz w:val="24"/>
          <w:szCs w:val="24"/>
        </w:rPr>
      </w:pPr>
      <w:bookmarkStart w:id="95" w:name="_Toc2388"/>
      <w:bookmarkStart w:id="96" w:name="_Toc417042985"/>
      <w:r>
        <w:rPr>
          <w:rFonts w:hint="eastAsia" w:asciiTheme="minorEastAsia" w:hAnsiTheme="minorEastAsia" w:eastAsiaTheme="minorEastAsia" w:cstheme="minorEastAsia"/>
          <w:color w:val="auto"/>
          <w:sz w:val="24"/>
          <w:szCs w:val="24"/>
        </w:rPr>
        <w:t>商务条款偏离表</w:t>
      </w:r>
      <w:bookmarkEnd w:id="95"/>
      <w:bookmarkEnd w:id="96"/>
    </w:p>
    <w:p>
      <w:pPr>
        <w:pStyle w:val="13"/>
        <w:spacing w:before="156" w:beforeLines="50"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项目编号：</w:t>
      </w:r>
    </w:p>
    <w:p>
      <w:pPr>
        <w:pStyle w:val="13"/>
        <w:spacing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投标人名称：（公章）</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法定代表人或授权代理人签字：</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w:t>
      </w:r>
    </w:p>
    <w:tbl>
      <w:tblPr>
        <w:tblStyle w:val="22"/>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87"/>
        <w:gridCol w:w="2775"/>
        <w:gridCol w:w="190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序号</w:t>
            </w: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w:t>
            </w:r>
          </w:p>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条款号</w:t>
            </w: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招标文件的商务条款</w:t>
            </w: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投标文件的商务条款</w:t>
            </w: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bl>
    <w:p>
      <w:pPr>
        <w:pStyle w:val="8"/>
        <w:spacing w:line="360" w:lineRule="auto"/>
        <w:jc w:val="right"/>
        <w:rPr>
          <w:rFonts w:hint="eastAsia" w:asciiTheme="minorEastAsia" w:hAnsiTheme="minorEastAsia" w:eastAsiaTheme="minorEastAsia" w:cstheme="minorEastAsia"/>
          <w:color w:val="auto"/>
          <w:sz w:val="24"/>
          <w:szCs w:val="24"/>
        </w:rPr>
      </w:pPr>
    </w:p>
    <w:p>
      <w:pPr>
        <w:pStyle w:val="8"/>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pPr>
        <w:pStyle w:val="5"/>
        <w:rPr>
          <w:rFonts w:hint="eastAsia" w:asciiTheme="minorEastAsia" w:hAnsiTheme="minorEastAsia" w:eastAsiaTheme="minorEastAsia" w:cstheme="minorEastAsia"/>
          <w:b w:val="0"/>
          <w:color w:val="auto"/>
          <w:sz w:val="24"/>
          <w:szCs w:val="24"/>
        </w:rPr>
        <w:sectPr>
          <w:footerReference r:id="rId6" w:type="default"/>
          <w:pgSz w:w="11906" w:h="16838"/>
          <w:pgMar w:top="1440" w:right="1800" w:bottom="1440" w:left="1800" w:header="851" w:footer="992" w:gutter="0"/>
          <w:pgNumType w:fmt="decimal"/>
          <w:cols w:space="425" w:num="1"/>
          <w:docGrid w:type="lines" w:linePitch="312" w:charSpace="0"/>
        </w:sectPr>
      </w:pPr>
      <w:bookmarkStart w:id="97" w:name="_Toc9816"/>
    </w:p>
    <w:p>
      <w:pPr>
        <w:spacing w:line="360" w:lineRule="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color w:val="auto"/>
          <w:sz w:val="24"/>
          <w:szCs w:val="24"/>
        </w:rPr>
        <w:t>附件五：</w:t>
      </w:r>
      <w:bookmarkEnd w:id="97"/>
      <w:r>
        <w:rPr>
          <w:rFonts w:hint="eastAsia" w:asciiTheme="minorEastAsia" w:hAnsiTheme="minorEastAsia" w:eastAsiaTheme="minorEastAsia" w:cstheme="minorEastAsia"/>
          <w:b w:val="0"/>
          <w:color w:val="auto"/>
          <w:sz w:val="24"/>
          <w:szCs w:val="24"/>
          <w:lang w:val="en-US" w:eastAsia="zh-CN"/>
        </w:rPr>
        <w:t xml:space="preserve">          </w:t>
      </w:r>
      <w:r>
        <w:rPr>
          <w:rFonts w:hint="eastAsia" w:asciiTheme="minorEastAsia" w:hAnsiTheme="minorEastAsia" w:eastAsiaTheme="minorEastAsia" w:cstheme="minorEastAsia"/>
          <w:bCs w:val="0"/>
          <w:color w:val="auto"/>
          <w:sz w:val="24"/>
          <w:szCs w:val="24"/>
        </w:rPr>
        <w:t xml:space="preserve">    </w:t>
      </w:r>
      <w:r>
        <w:rPr>
          <w:rFonts w:hint="eastAsia" w:asciiTheme="minorEastAsia" w:hAnsiTheme="minorEastAsia" w:eastAsiaTheme="minorEastAsia" w:cstheme="minorEastAsia"/>
          <w:color w:val="auto"/>
          <w:sz w:val="24"/>
          <w:szCs w:val="24"/>
        </w:rPr>
        <w:t xml:space="preserve"> </w:t>
      </w:r>
      <w:bookmarkStart w:id="98" w:name="_Toc14818"/>
      <w:r>
        <w:rPr>
          <w:rFonts w:hint="eastAsia" w:asciiTheme="minorEastAsia" w:hAnsiTheme="minorEastAsia" w:eastAsiaTheme="minorEastAsia" w:cstheme="minorEastAsia"/>
          <w:color w:val="auto"/>
          <w:sz w:val="24"/>
          <w:szCs w:val="24"/>
          <w:lang w:val="en-US" w:eastAsia="zh-CN"/>
        </w:rPr>
        <w:t xml:space="preserve"> </w:t>
      </w:r>
    </w:p>
    <w:p>
      <w:pPr>
        <w:spacing w:line="360" w:lineRule="auto"/>
        <w:ind w:firstLine="2880" w:firstLineChars="1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技术条款偏离表</w:t>
      </w:r>
      <w:bookmarkEnd w:id="98"/>
    </w:p>
    <w:p>
      <w:pPr>
        <w:pStyle w:val="13"/>
        <w:spacing w:before="156" w:beforeLines="50"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项目编号：</w:t>
      </w:r>
    </w:p>
    <w:p>
      <w:pPr>
        <w:pStyle w:val="13"/>
        <w:spacing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投标人名称：（公章）</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法定代表人或授权代理人签字：</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w:t>
      </w:r>
    </w:p>
    <w:tbl>
      <w:tblPr>
        <w:tblStyle w:val="22"/>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355"/>
        <w:gridCol w:w="2513"/>
        <w:gridCol w:w="2586"/>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序号</w:t>
            </w: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w:t>
            </w:r>
          </w:p>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条款号</w:t>
            </w: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招标文件的服务条款</w:t>
            </w: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投标文件的服务条款</w:t>
            </w: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bl>
    <w:p>
      <w:pPr>
        <w:pStyle w:val="8"/>
        <w:jc w:val="right"/>
        <w:rPr>
          <w:rFonts w:hint="eastAsia" w:asciiTheme="minorEastAsia" w:hAnsiTheme="minorEastAsia" w:eastAsiaTheme="minorEastAsia" w:cstheme="minorEastAsia"/>
          <w:color w:val="auto"/>
          <w:sz w:val="24"/>
          <w:szCs w:val="24"/>
        </w:rPr>
      </w:pPr>
    </w:p>
    <w:p>
      <w:pPr>
        <w:pStyle w:val="8"/>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pPr>
        <w:pStyle w:val="11"/>
        <w:spacing w:line="460" w:lineRule="exact"/>
        <w:ind w:right="324" w:rightChars="135"/>
        <w:rPr>
          <w:rFonts w:hint="eastAsia" w:asciiTheme="minorEastAsia" w:hAnsiTheme="minorEastAsia" w:eastAsiaTheme="minorEastAsia" w:cstheme="minorEastAsia"/>
          <w:color w:val="auto"/>
          <w:sz w:val="24"/>
          <w:szCs w:val="24"/>
        </w:rPr>
      </w:pPr>
    </w:p>
    <w:p>
      <w:pPr>
        <w:jc w:val="left"/>
        <w:outlineLvl w:val="9"/>
        <w:rPr>
          <w:rFonts w:hint="eastAsia" w:asciiTheme="minorEastAsia" w:hAnsiTheme="minorEastAsia" w:eastAsiaTheme="minorEastAsia" w:cstheme="minorEastAsia"/>
          <w:b w:val="0"/>
          <w:color w:val="auto"/>
          <w:sz w:val="24"/>
          <w:szCs w:val="24"/>
        </w:rPr>
      </w:pPr>
      <w:bookmarkStart w:id="99" w:name="_Toc22066"/>
      <w:bookmarkStart w:id="100" w:name="_Toc2295"/>
      <w:bookmarkStart w:id="101" w:name="_Toc350430975"/>
    </w:p>
    <w:p>
      <w:pPr>
        <w:pStyle w:val="5"/>
        <w:jc w:val="left"/>
        <w:rPr>
          <w:rFonts w:hint="eastAsia" w:asciiTheme="minorEastAsia" w:hAnsiTheme="minorEastAsia" w:eastAsiaTheme="minorEastAsia" w:cstheme="minorEastAsia"/>
          <w:b w:val="0"/>
          <w:color w:val="auto"/>
          <w:sz w:val="24"/>
          <w:szCs w:val="24"/>
        </w:rPr>
        <w:sectPr>
          <w:pgSz w:w="11906" w:h="16838"/>
          <w:pgMar w:top="1440" w:right="1800" w:bottom="1440" w:left="1800" w:header="851" w:footer="992" w:gutter="0"/>
          <w:pgNumType w:fmt="decimal"/>
          <w:cols w:space="425" w:num="1"/>
          <w:docGrid w:type="lines" w:linePitch="312" w:charSpace="0"/>
        </w:sectPr>
      </w:pPr>
    </w:p>
    <w:p>
      <w:pPr>
        <w:jc w:val="left"/>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color w:val="auto"/>
          <w:sz w:val="24"/>
          <w:szCs w:val="24"/>
        </w:rPr>
        <w:t>附件六：</w:t>
      </w:r>
      <w:bookmarkEnd w:id="99"/>
    </w:p>
    <w:bookmarkEnd w:id="100"/>
    <w:bookmarkEnd w:id="101"/>
    <w:p>
      <w:pPr>
        <w:spacing w:line="360" w:lineRule="auto"/>
        <w:jc w:val="center"/>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主要从业人员及其技术资格一览表</w:t>
      </w:r>
    </w:p>
    <w:p>
      <w:pPr>
        <w:spacing w:line="36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投标人名称（公章）：                          </w:t>
      </w:r>
      <w:r>
        <w:rPr>
          <w:rFonts w:hint="eastAsia" w:asciiTheme="minorEastAsia" w:hAnsiTheme="minorEastAsia" w:eastAsiaTheme="minorEastAsia" w:cstheme="minorEastAsia"/>
          <w:color w:val="auto"/>
          <w:sz w:val="24"/>
          <w:szCs w:val="24"/>
        </w:rPr>
        <w:t xml:space="preserve">         </w:t>
      </w:r>
    </w:p>
    <w:tbl>
      <w:tblPr>
        <w:tblStyle w:val="22"/>
        <w:tblW w:w="83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
        <w:gridCol w:w="1297"/>
        <w:gridCol w:w="1162"/>
        <w:gridCol w:w="1162"/>
        <w:gridCol w:w="1660"/>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姓名</w:t>
            </w:r>
          </w:p>
        </w:tc>
        <w:tc>
          <w:tcPr>
            <w:tcW w:w="12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职务</w:t>
            </w:r>
          </w:p>
        </w:tc>
        <w:tc>
          <w:tcPr>
            <w:tcW w:w="11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专业技</w:t>
            </w:r>
          </w:p>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术资格</w:t>
            </w:r>
          </w:p>
        </w:tc>
        <w:tc>
          <w:tcPr>
            <w:tcW w:w="11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证书</w:t>
            </w:r>
          </w:p>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编号</w:t>
            </w:r>
          </w:p>
        </w:tc>
        <w:tc>
          <w:tcPr>
            <w:tcW w:w="16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参加本单位工作时间</w:t>
            </w:r>
          </w:p>
        </w:tc>
        <w:tc>
          <w:tcPr>
            <w:tcW w:w="23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ind w:left="5250"/>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bl>
    <w:p>
      <w:pPr>
        <w:autoSpaceDE w:val="0"/>
        <w:autoSpaceDN w:val="0"/>
        <w:adjustRightInd w:val="0"/>
        <w:spacing w:before="50" w:after="120" w:line="460" w:lineRule="exac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注：在填写时，如本表格不适合投标单位的实际情况，可根据本表格式自行划表填写。 </w:t>
      </w:r>
    </w:p>
    <w:p>
      <w:pPr>
        <w:autoSpaceDE w:val="0"/>
        <w:autoSpaceDN w:val="0"/>
        <w:adjustRightInd w:val="0"/>
        <w:spacing w:before="50" w:after="120" w:line="460" w:lineRule="exact"/>
        <w:rPr>
          <w:rFonts w:hint="eastAsia" w:asciiTheme="minorEastAsia" w:hAnsiTheme="minorEastAsia" w:eastAsiaTheme="minorEastAsia" w:cstheme="minorEastAsia"/>
          <w:color w:val="auto"/>
          <w:sz w:val="24"/>
          <w:szCs w:val="24"/>
          <w:lang w:val="zh-CN"/>
        </w:rPr>
      </w:pPr>
    </w:p>
    <w:p>
      <w:pPr>
        <w:autoSpaceDE w:val="0"/>
        <w:autoSpaceDN w:val="0"/>
        <w:adjustRightInd w:val="0"/>
        <w:spacing w:before="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法定代表人或者被授权代表：</w:t>
      </w:r>
      <w:r>
        <w:rPr>
          <w:rFonts w:hint="eastAsia" w:asciiTheme="minorEastAsia" w:hAnsiTheme="minorEastAsia" w:eastAsiaTheme="minorEastAsia" w:cstheme="minorEastAsia"/>
          <w:color w:val="auto"/>
          <w:sz w:val="24"/>
          <w:szCs w:val="24"/>
          <w:u w:val="single"/>
          <w:lang w:val="zh-CN"/>
        </w:rPr>
        <w:t xml:space="preserve">       </w:t>
      </w:r>
      <w:r>
        <w:rPr>
          <w:rFonts w:hint="eastAsia" w:asciiTheme="minorEastAsia" w:hAnsiTheme="minorEastAsia" w:eastAsiaTheme="minorEastAsia" w:cstheme="minorEastAsia"/>
          <w:color w:val="auto"/>
          <w:sz w:val="24"/>
          <w:szCs w:val="24"/>
          <w:lang w:val="zh-CN"/>
        </w:rPr>
        <w:t>（签字）               日期：</w:t>
      </w:r>
      <w:r>
        <w:rPr>
          <w:rFonts w:hint="eastAsia" w:asciiTheme="minorEastAsia" w:hAnsiTheme="minorEastAsia" w:eastAsiaTheme="minorEastAsia" w:cstheme="minorEastAsia"/>
          <w:color w:val="auto"/>
          <w:sz w:val="24"/>
          <w:szCs w:val="24"/>
          <w:u w:val="single"/>
          <w:lang w:val="zh-CN"/>
        </w:rPr>
        <w:t xml:space="preserve">         </w:t>
      </w:r>
    </w:p>
    <w:p>
      <w:pPr>
        <w:spacing w:line="360" w:lineRule="auto"/>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11"/>
        <w:spacing w:line="460" w:lineRule="exact"/>
        <w:ind w:right="324" w:rightChars="135"/>
        <w:rPr>
          <w:rFonts w:hint="eastAsia" w:asciiTheme="minorEastAsia" w:hAnsiTheme="minorEastAsia" w:eastAsiaTheme="minorEastAsia" w:cstheme="minorEastAsia"/>
          <w:bCs/>
          <w:color w:val="auto"/>
          <w:sz w:val="24"/>
          <w:szCs w:val="24"/>
        </w:rPr>
      </w:pPr>
    </w:p>
    <w:p>
      <w:pPr>
        <w:pStyle w:val="12"/>
        <w:rPr>
          <w:rFonts w:hint="eastAsia" w:asciiTheme="minorEastAsia" w:hAnsiTheme="minorEastAsia" w:eastAsiaTheme="minorEastAsia" w:cstheme="minorEastAsia"/>
          <w:color w:val="auto"/>
        </w:rPr>
      </w:pPr>
    </w:p>
    <w:p>
      <w:pPr>
        <w:pStyle w:val="12"/>
        <w:rPr>
          <w:rFonts w:hint="eastAsia" w:asciiTheme="minorEastAsia" w:hAnsiTheme="minorEastAsia" w:eastAsiaTheme="minorEastAsia" w:cstheme="minorEastAsia"/>
          <w:color w:val="auto"/>
        </w:rPr>
      </w:pPr>
    </w:p>
    <w:p>
      <w:pPr>
        <w:pStyle w:val="12"/>
        <w:rPr>
          <w:rFonts w:hint="eastAsia" w:asciiTheme="minorEastAsia" w:hAnsiTheme="minorEastAsia" w:eastAsiaTheme="minorEastAsia" w:cstheme="minorEastAsia"/>
          <w:color w:val="auto"/>
        </w:rPr>
      </w:pPr>
    </w:p>
    <w:p>
      <w:pPr>
        <w:pStyle w:val="12"/>
        <w:rPr>
          <w:rFonts w:hint="eastAsia" w:asciiTheme="minorEastAsia" w:hAnsiTheme="minorEastAsia" w:eastAsiaTheme="minorEastAsia" w:cstheme="minorEastAsia"/>
          <w:color w:val="auto"/>
        </w:rPr>
      </w:pPr>
    </w:p>
    <w:p>
      <w:pPr>
        <w:pStyle w:val="12"/>
        <w:rPr>
          <w:rFonts w:hint="eastAsia" w:asciiTheme="minorEastAsia" w:hAnsiTheme="minorEastAsia" w:eastAsiaTheme="minorEastAsia" w:cstheme="minorEastAsia"/>
          <w:color w:val="auto"/>
        </w:rPr>
      </w:pPr>
    </w:p>
    <w:p>
      <w:pPr>
        <w:pStyle w:val="11"/>
        <w:spacing w:line="460" w:lineRule="exact"/>
        <w:ind w:right="324" w:rightChars="13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附件</w:t>
      </w:r>
      <w:r>
        <w:rPr>
          <w:rFonts w:hint="eastAsia" w:asciiTheme="minorEastAsia" w:hAnsiTheme="minorEastAsia" w:eastAsiaTheme="minorEastAsia" w:cstheme="minorEastAsia"/>
          <w:bCs/>
          <w:color w:val="auto"/>
          <w:sz w:val="24"/>
          <w:szCs w:val="24"/>
          <w:lang w:eastAsia="zh-CN"/>
        </w:rPr>
        <w:t>七</w:t>
      </w:r>
      <w:r>
        <w:rPr>
          <w:rFonts w:hint="eastAsia" w:asciiTheme="minorEastAsia" w:hAnsiTheme="minorEastAsia" w:eastAsiaTheme="minorEastAsia" w:cstheme="minorEastAsia"/>
          <w:bCs/>
          <w:color w:val="auto"/>
          <w:sz w:val="24"/>
          <w:szCs w:val="24"/>
        </w:rPr>
        <w:t>：</w:t>
      </w:r>
    </w:p>
    <w:p>
      <w:pPr>
        <w:jc w:val="center"/>
        <w:outlineLvl w:val="9"/>
        <w:rPr>
          <w:rFonts w:hint="eastAsia" w:asciiTheme="minorEastAsia" w:hAnsiTheme="minorEastAsia" w:eastAsiaTheme="minorEastAsia" w:cstheme="minorEastAsia"/>
          <w:color w:val="auto"/>
          <w:sz w:val="24"/>
          <w:szCs w:val="24"/>
        </w:rPr>
      </w:pPr>
      <w:bookmarkStart w:id="102" w:name="_Toc30823"/>
      <w:bookmarkStart w:id="103" w:name="_Toc417042987"/>
      <w:r>
        <w:rPr>
          <w:rFonts w:hint="eastAsia" w:asciiTheme="minorEastAsia" w:hAnsiTheme="minorEastAsia" w:eastAsiaTheme="minorEastAsia" w:cstheme="minorEastAsia"/>
          <w:color w:val="auto"/>
          <w:sz w:val="24"/>
          <w:szCs w:val="24"/>
        </w:rPr>
        <w:t>近三年完成同类业绩一览表</w:t>
      </w:r>
      <w:bookmarkEnd w:id="102"/>
      <w:bookmarkEnd w:id="103"/>
    </w:p>
    <w:tbl>
      <w:tblPr>
        <w:tblStyle w:val="22"/>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72"/>
        <w:gridCol w:w="1101"/>
        <w:gridCol w:w="1614"/>
        <w:gridCol w:w="1452"/>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使用单位</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规模</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服务周期</w:t>
            </w: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合同价格</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（万元）</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注：本表可按同样格式扩展</w:t>
      </w:r>
    </w:p>
    <w:p>
      <w:pPr>
        <w:tabs>
          <w:tab w:val="left" w:pos="2715"/>
          <w:tab w:val="left" w:pos="3640"/>
          <w:tab w:val="left" w:pos="5040"/>
          <w:tab w:val="left" w:pos="7040"/>
          <w:tab w:val="left" w:pos="8340"/>
          <w:tab w:val="left" w:pos="9840"/>
        </w:tabs>
        <w:spacing w:line="360" w:lineRule="auto"/>
        <w:ind w:left="934" w:leftChars="-86" w:hanging="1140" w:hangingChars="4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说明：1、该表仅限国内以来的同类项目经营业绩。</w:t>
      </w:r>
    </w:p>
    <w:p>
      <w:pPr>
        <w:spacing w:line="360" w:lineRule="auto"/>
        <w:ind w:left="-26" w:leftChars="-86"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2、本表后按序号附合同协议书复印件。复印件与原件核验一致有效。</w:t>
      </w: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pStyle w:val="21"/>
        <w:rPr>
          <w:rFonts w:hint="eastAsia" w:asciiTheme="minorEastAsia" w:hAnsiTheme="minorEastAsia" w:eastAsiaTheme="minorEastAsia" w:cstheme="minorEastAsia"/>
          <w:b/>
          <w:color w:val="auto"/>
          <w:kern w:val="0"/>
          <w:sz w:val="24"/>
          <w:szCs w:val="24"/>
        </w:rPr>
      </w:pPr>
    </w:p>
    <w:p>
      <w:pPr>
        <w:pStyle w:val="21"/>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附件八：</w:t>
      </w:r>
    </w:p>
    <w:p>
      <w:pPr>
        <w:pStyle w:val="13"/>
        <w:spacing w:line="460" w:lineRule="exact"/>
        <w:ind w:firstLine="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无重大违法记录声明</w:t>
      </w:r>
    </w:p>
    <w:p>
      <w:pPr>
        <w:pStyle w:val="13"/>
        <w:spacing w:line="460" w:lineRule="exact"/>
        <w:ind w:left="1747" w:firstLine="0"/>
        <w:jc w:val="center"/>
        <w:rPr>
          <w:rFonts w:hint="eastAsia" w:asciiTheme="minorEastAsia" w:hAnsiTheme="minorEastAsia" w:eastAsiaTheme="minorEastAsia" w:cstheme="minorEastAsia"/>
          <w:b/>
          <w:bCs/>
          <w:color w:val="auto"/>
          <w:sz w:val="24"/>
          <w:szCs w:val="24"/>
        </w:rPr>
      </w:pPr>
    </w:p>
    <w:p>
      <w:pPr>
        <w:pStyle w:val="13"/>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致山东蓝盾招标代理有限公司：</w:t>
      </w:r>
    </w:p>
    <w:p>
      <w:pPr>
        <w:pStyle w:val="13"/>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我公司</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（公司名称）现郑重声明，自201</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年1月1日起至今，我公司无以下重大违法事项：</w:t>
      </w:r>
    </w:p>
    <w:p>
      <w:pPr>
        <w:pStyle w:val="13"/>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1、因违法经营受到刑事处罚或者责令停产停业的；</w:t>
      </w:r>
    </w:p>
    <w:p>
      <w:pPr>
        <w:pStyle w:val="13"/>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2、吊销许可证或者执照的；</w:t>
      </w:r>
    </w:p>
    <w:p>
      <w:pPr>
        <w:pStyle w:val="13"/>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3、较大数额罚款等行政处罚。</w:t>
      </w:r>
    </w:p>
    <w:p>
      <w:pPr>
        <w:pStyle w:val="13"/>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如有瞒报、虚报，我公司自行承担因此产生的所有法律责任。</w:t>
      </w:r>
    </w:p>
    <w:p>
      <w:pPr>
        <w:pStyle w:val="13"/>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特此声明！</w:t>
      </w:r>
    </w:p>
    <w:p>
      <w:pPr>
        <w:pStyle w:val="13"/>
        <w:spacing w:line="480" w:lineRule="auto"/>
        <w:ind w:left="1747" w:firstLine="0"/>
        <w:rPr>
          <w:rFonts w:hint="eastAsia" w:asciiTheme="minorEastAsia" w:hAnsiTheme="minorEastAsia" w:eastAsiaTheme="minorEastAsia" w:cstheme="minorEastAsia"/>
          <w:bCs/>
          <w:color w:val="auto"/>
          <w:sz w:val="24"/>
          <w:szCs w:val="24"/>
        </w:rPr>
      </w:pPr>
    </w:p>
    <w:p>
      <w:pPr>
        <w:pStyle w:val="13"/>
        <w:spacing w:line="480" w:lineRule="auto"/>
        <w:ind w:left="1747" w:firstLine="0"/>
        <w:rPr>
          <w:rFonts w:hint="eastAsia" w:asciiTheme="minorEastAsia" w:hAnsiTheme="minorEastAsia" w:eastAsiaTheme="minorEastAsia" w:cstheme="minorEastAsia"/>
          <w:bCs/>
          <w:color w:val="auto"/>
          <w:sz w:val="24"/>
          <w:szCs w:val="24"/>
        </w:rPr>
      </w:pPr>
    </w:p>
    <w:p>
      <w:pPr>
        <w:pStyle w:val="13"/>
        <w:spacing w:line="480" w:lineRule="auto"/>
        <w:ind w:left="1747" w:firstLine="0"/>
        <w:rPr>
          <w:rFonts w:hint="eastAsia" w:asciiTheme="minorEastAsia" w:hAnsiTheme="minorEastAsia" w:eastAsiaTheme="minorEastAsia" w:cstheme="minorEastAsia"/>
          <w:bCs/>
          <w:color w:val="auto"/>
          <w:sz w:val="24"/>
          <w:szCs w:val="24"/>
        </w:rPr>
      </w:pPr>
    </w:p>
    <w:p>
      <w:pPr>
        <w:pStyle w:val="13"/>
        <w:spacing w:line="480" w:lineRule="auto"/>
        <w:ind w:left="1747"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公司名称（章）：                            </w:t>
      </w:r>
    </w:p>
    <w:p>
      <w:pPr>
        <w:pStyle w:val="13"/>
        <w:spacing w:line="480" w:lineRule="auto"/>
        <w:ind w:left="1747" w:firstLine="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 xml:space="preserve">         授权代表签字： </w:t>
      </w:r>
      <w:r>
        <w:rPr>
          <w:rFonts w:hint="eastAsia" w:asciiTheme="minorEastAsia" w:hAnsiTheme="minorEastAsia" w:eastAsiaTheme="minorEastAsia" w:cstheme="minorEastAsia"/>
          <w:b/>
          <w:color w:val="auto"/>
          <w:sz w:val="24"/>
          <w:szCs w:val="24"/>
        </w:rPr>
        <w:t xml:space="preserve">                             </w:t>
      </w:r>
    </w:p>
    <w:p>
      <w:pPr>
        <w:pStyle w:val="13"/>
        <w:ind w:firstLine="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w:t>
      </w:r>
    </w:p>
    <w:p>
      <w:pPr>
        <w:pStyle w:val="13"/>
        <w:ind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年    月    日</w:t>
      </w:r>
    </w:p>
    <w:p>
      <w:pPr>
        <w:pStyle w:val="13"/>
        <w:ind w:firstLine="0"/>
        <w:rPr>
          <w:rFonts w:hint="eastAsia" w:asciiTheme="minorEastAsia" w:hAnsiTheme="minorEastAsia" w:eastAsiaTheme="minorEastAsia" w:cstheme="minorEastAsia"/>
          <w:b/>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pStyle w:val="21"/>
        <w:rPr>
          <w:rFonts w:hint="eastAsia" w:asciiTheme="minorEastAsia" w:hAnsiTheme="minorEastAsia" w:eastAsiaTheme="minorEastAsia" w:cstheme="minorEastAsia"/>
          <w:bCs/>
          <w:color w:val="auto"/>
          <w:sz w:val="24"/>
          <w:szCs w:val="24"/>
        </w:rPr>
      </w:pPr>
    </w:p>
    <w:p>
      <w:pPr>
        <w:pStyle w:val="21"/>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附件九：</w:t>
      </w:r>
    </w:p>
    <w:p>
      <w:pPr>
        <w:widowControl/>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rPr>
        <w:t>服务方案</w:t>
      </w: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格式自行编写</w:t>
      </w:r>
    </w:p>
    <w:p>
      <w:pPr>
        <w:widowControl/>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 xml:space="preserve">  </w:t>
      </w:r>
    </w:p>
    <w:p>
      <w:pPr>
        <w:pStyle w:val="4"/>
        <w:spacing w:line="240" w:lineRule="auto"/>
        <w:jc w:val="center"/>
        <w:rPr>
          <w:rFonts w:hint="eastAsia" w:asciiTheme="minorEastAsia" w:hAnsiTheme="minorEastAsia" w:eastAsiaTheme="minorEastAsia" w:cstheme="minorEastAsia"/>
          <w:color w:val="auto"/>
          <w:sz w:val="24"/>
          <w:szCs w:val="24"/>
        </w:rPr>
      </w:pPr>
      <w:bookmarkStart w:id="104" w:name="_Toc32614"/>
    </w:p>
    <w:p>
      <w:pPr>
        <w:pStyle w:val="4"/>
        <w:spacing w:line="240" w:lineRule="auto"/>
        <w:jc w:val="center"/>
        <w:rPr>
          <w:rFonts w:hint="eastAsia" w:asciiTheme="minorEastAsia" w:hAnsiTheme="minorEastAsia" w:eastAsiaTheme="minorEastAsia" w:cstheme="minorEastAsia"/>
          <w:color w:val="auto"/>
          <w:sz w:val="24"/>
          <w:szCs w:val="24"/>
        </w:rPr>
      </w:pPr>
    </w:p>
    <w:p>
      <w:pPr>
        <w:pStyle w:val="4"/>
        <w:spacing w:line="240" w:lineRule="auto"/>
        <w:jc w:val="center"/>
        <w:rPr>
          <w:rFonts w:hint="eastAsia" w:asciiTheme="minorEastAsia" w:hAnsiTheme="minorEastAsia" w:eastAsiaTheme="minorEastAsia" w:cstheme="minorEastAsia"/>
          <w:color w:val="auto"/>
          <w:sz w:val="24"/>
          <w:szCs w:val="24"/>
        </w:rPr>
      </w:pPr>
    </w:p>
    <w:p>
      <w:pPr>
        <w:pStyle w:val="4"/>
        <w:spacing w:line="240" w:lineRule="auto"/>
        <w:jc w:val="cente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附件十：</w:t>
      </w:r>
    </w:p>
    <w:p>
      <w:pPr>
        <w:pStyle w:val="13"/>
        <w:spacing w:line="240" w:lineRule="auto"/>
        <w:ind w:left="0" w:leftChars="0" w:firstLine="0" w:firstLineChars="0"/>
        <w:jc w:val="center"/>
        <w:rPr>
          <w:rFonts w:hint="eastAsia" w:asciiTheme="minorEastAsia" w:hAnsiTheme="minorEastAsia" w:eastAsiaTheme="minorEastAsia" w:cstheme="minorEastAsia"/>
          <w:b/>
          <w:bCs/>
          <w:color w:val="auto"/>
          <w:sz w:val="24"/>
          <w:szCs w:val="24"/>
        </w:rPr>
      </w:pPr>
      <w:bookmarkStart w:id="105" w:name="_Toc22084"/>
      <w:bookmarkStart w:id="106" w:name="_Toc222"/>
      <w:r>
        <w:rPr>
          <w:rFonts w:hint="eastAsia" w:asciiTheme="minorEastAsia" w:hAnsiTheme="minorEastAsia" w:eastAsiaTheme="minorEastAsia" w:cstheme="minorEastAsia"/>
          <w:b/>
          <w:bCs/>
          <w:color w:val="auto"/>
          <w:sz w:val="24"/>
          <w:szCs w:val="24"/>
        </w:rPr>
        <w:t>售后服务承诺</w:t>
      </w:r>
      <w:bookmarkEnd w:id="105"/>
      <w:bookmarkEnd w:id="106"/>
    </w:p>
    <w:p>
      <w:pPr>
        <w:pStyle w:val="13"/>
        <w:spacing w:before="156" w:beforeLines="50" w:line="48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......主要内容应包含但不限于以下内容（格式自定）</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cs="Times New Roman"/>
          <w:kern w:val="2"/>
          <w:sz w:val="24"/>
          <w:szCs w:val="24"/>
          <w:lang w:val="en-US" w:eastAsia="zh-CN" w:bidi="ar-SA"/>
        </w:rPr>
        <w:t>1、</w:t>
      </w:r>
      <w:r>
        <w:rPr>
          <w:rFonts w:hint="eastAsia" w:ascii="Calibri" w:hAnsi="Calibri" w:eastAsia="宋体" w:cs="Times New Roman"/>
          <w:kern w:val="2"/>
          <w:sz w:val="24"/>
          <w:szCs w:val="24"/>
          <w:lang w:val="en-US" w:eastAsia="zh-CN" w:bidi="ar-SA"/>
        </w:rPr>
        <w:t xml:space="preserve"> </w:t>
      </w:r>
      <w:r>
        <w:rPr>
          <w:rFonts w:hint="eastAsia" w:asciiTheme="minorEastAsia" w:hAnsiTheme="minorEastAsia" w:eastAsiaTheme="minorEastAsia" w:cstheme="minorEastAsia"/>
          <w:color w:val="auto"/>
          <w:sz w:val="24"/>
          <w:szCs w:val="24"/>
          <w:lang w:val="en-US" w:eastAsia="zh-CN"/>
        </w:rPr>
        <w:t>对所有货物负责安装、集成、调试；</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 提供及时、迅速、优质服务的承诺，迅速快捷地提供货物的备品备件，保证采购人能够及时买到货物所需的备品备件和易损件；</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3、提供成交货物齐全的资料（进口货物必须包括中文和英文的使用说明、安装手册、维修手册、专用工具和相应质检手续证明文件）；</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4、货物出现故障后，响应及排除故障时间；</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 投标人对提供的所有货物，明确质量保证期。质量保证期内，除人为因素损坏外，全部免费维修；</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6、质量保证期以后的维修、维护内容及服务方式、范围和收费等情况</w:t>
      </w:r>
    </w:p>
    <w:p>
      <w:pPr>
        <w:pStyle w:val="13"/>
        <w:spacing w:before="156" w:beforeLines="50" w:line="480" w:lineRule="auto"/>
        <w:ind w:left="0" w:leftChars="0" w:firstLine="0" w:firstLineChars="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p>
      <w:pPr>
        <w:pStyle w:val="13"/>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3"/>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3"/>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3"/>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3"/>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3"/>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3"/>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spacing w:line="360" w:lineRule="auto"/>
        <w:ind w:firstLine="540"/>
        <w:jc w:val="left"/>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ind w:left="0" w:leftChars="0" w:firstLine="0" w:firstLineChars="0"/>
        <w:rPr>
          <w:rFonts w:hint="eastAsia" w:asciiTheme="minorEastAsia" w:hAnsiTheme="minorEastAsia" w:eastAsiaTheme="minorEastAsia" w:cstheme="minorEastAsia"/>
          <w:color w:val="auto"/>
          <w:sz w:val="24"/>
          <w:szCs w:val="24"/>
        </w:rPr>
      </w:pPr>
    </w:p>
    <w:p>
      <w:pPr>
        <w:pStyle w:val="7"/>
        <w:spacing w:line="360" w:lineRule="auto"/>
        <w:ind w:firstLine="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附件十</w:t>
      </w:r>
      <w:r>
        <w:rPr>
          <w:rFonts w:hint="eastAsia" w:asciiTheme="minorEastAsia" w:hAnsiTheme="minorEastAsia" w:eastAsiaTheme="minorEastAsia" w:cstheme="minorEastAsia"/>
          <w:b w:val="0"/>
          <w:bCs/>
          <w:color w:val="auto"/>
          <w:sz w:val="24"/>
          <w:szCs w:val="24"/>
          <w:lang w:eastAsia="zh-CN"/>
        </w:rPr>
        <w:t>一</w:t>
      </w:r>
      <w:r>
        <w:rPr>
          <w:rFonts w:hint="eastAsia" w:asciiTheme="minorEastAsia" w:hAnsiTheme="minorEastAsia" w:eastAsiaTheme="minorEastAsia" w:cstheme="minorEastAsia"/>
          <w:b w:val="0"/>
          <w:bCs/>
          <w:color w:val="auto"/>
          <w:sz w:val="24"/>
          <w:szCs w:val="24"/>
        </w:rPr>
        <w:t>：</w:t>
      </w:r>
    </w:p>
    <w:p>
      <w:pPr>
        <w:spacing w:line="48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投标人基本情况表</w:t>
      </w:r>
    </w:p>
    <w:p>
      <w:pPr>
        <w:spacing w:line="480" w:lineRule="exact"/>
        <w:jc w:val="center"/>
        <w:rPr>
          <w:rFonts w:hint="eastAsia" w:asciiTheme="minorEastAsia" w:hAnsiTheme="minorEastAsia" w:eastAsiaTheme="minorEastAsia" w:cstheme="minorEastAsia"/>
          <w:b/>
          <w:color w:val="auto"/>
          <w:sz w:val="24"/>
          <w:szCs w:val="24"/>
        </w:rPr>
      </w:pPr>
    </w:p>
    <w:tbl>
      <w:tblPr>
        <w:tblStyle w:val="22"/>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785"/>
        <w:gridCol w:w="2181"/>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p>
        </w:tc>
        <w:tc>
          <w:tcPr>
            <w:tcW w:w="1785" w:type="dxa"/>
            <w:vAlign w:val="center"/>
          </w:tcPr>
          <w:p>
            <w:pPr>
              <w:jc w:val="center"/>
              <w:rPr>
                <w:rFonts w:hint="eastAsia" w:asciiTheme="minorEastAsia" w:hAnsiTheme="minorEastAsia" w:eastAsiaTheme="minorEastAsia" w:cstheme="minorEastAsia"/>
                <w:color w:val="auto"/>
                <w:sz w:val="24"/>
                <w:szCs w:val="24"/>
              </w:rPr>
            </w:pPr>
          </w:p>
        </w:tc>
        <w:tc>
          <w:tcPr>
            <w:tcW w:w="2181"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主要业务</w:t>
            </w:r>
          </w:p>
        </w:tc>
        <w:tc>
          <w:tcPr>
            <w:tcW w:w="2469" w:type="dxa"/>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注册资金</w:t>
            </w:r>
          </w:p>
        </w:tc>
        <w:tc>
          <w:tcPr>
            <w:tcW w:w="1785" w:type="dxa"/>
            <w:vAlign w:val="center"/>
          </w:tcPr>
          <w:p>
            <w:pPr>
              <w:jc w:val="center"/>
              <w:rPr>
                <w:rFonts w:hint="eastAsia" w:asciiTheme="minorEastAsia" w:hAnsiTheme="minorEastAsia" w:eastAsiaTheme="minorEastAsia" w:cstheme="minorEastAsia"/>
                <w:bCs/>
                <w:color w:val="auto"/>
                <w:sz w:val="24"/>
                <w:szCs w:val="24"/>
              </w:rPr>
            </w:pPr>
          </w:p>
        </w:tc>
        <w:tc>
          <w:tcPr>
            <w:tcW w:w="2181"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现有职工人数</w:t>
            </w:r>
          </w:p>
        </w:tc>
        <w:tc>
          <w:tcPr>
            <w:tcW w:w="2469" w:type="dxa"/>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行政管理人数</w:t>
            </w:r>
          </w:p>
        </w:tc>
        <w:tc>
          <w:tcPr>
            <w:tcW w:w="1785" w:type="dxa"/>
            <w:vAlign w:val="center"/>
          </w:tcPr>
          <w:p>
            <w:pPr>
              <w:jc w:val="center"/>
              <w:rPr>
                <w:rFonts w:hint="eastAsia" w:asciiTheme="minorEastAsia" w:hAnsiTheme="minorEastAsia" w:eastAsiaTheme="minorEastAsia" w:cstheme="minorEastAsia"/>
                <w:bCs/>
                <w:color w:val="auto"/>
                <w:sz w:val="24"/>
                <w:szCs w:val="24"/>
              </w:rPr>
            </w:pPr>
          </w:p>
        </w:tc>
        <w:tc>
          <w:tcPr>
            <w:tcW w:w="2181"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技术人员人数</w:t>
            </w:r>
          </w:p>
        </w:tc>
        <w:tc>
          <w:tcPr>
            <w:tcW w:w="2469" w:type="dxa"/>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营业执照</w:t>
            </w:r>
          </w:p>
        </w:tc>
        <w:tc>
          <w:tcPr>
            <w:tcW w:w="6435" w:type="dxa"/>
            <w:gridSpan w:val="3"/>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1.执照编号   2.营业范围   3.发照部门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单位资质</w:t>
            </w:r>
          </w:p>
        </w:tc>
        <w:tc>
          <w:tcPr>
            <w:tcW w:w="6435" w:type="dxa"/>
            <w:gridSpan w:val="3"/>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1.执照编号   2.资质等级   3.发证部门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单位注册地址</w:t>
            </w:r>
          </w:p>
        </w:tc>
        <w:tc>
          <w:tcPr>
            <w:tcW w:w="1785" w:type="dxa"/>
            <w:vAlign w:val="center"/>
          </w:tcPr>
          <w:p>
            <w:pPr>
              <w:jc w:val="center"/>
              <w:rPr>
                <w:rFonts w:hint="eastAsia" w:asciiTheme="minorEastAsia" w:hAnsiTheme="minorEastAsia" w:eastAsiaTheme="minorEastAsia" w:cstheme="minorEastAsia"/>
                <w:bCs/>
                <w:color w:val="auto"/>
                <w:sz w:val="24"/>
                <w:szCs w:val="24"/>
              </w:rPr>
            </w:pPr>
          </w:p>
        </w:tc>
        <w:tc>
          <w:tcPr>
            <w:tcW w:w="2181"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单位联络方式</w:t>
            </w:r>
          </w:p>
        </w:tc>
        <w:tc>
          <w:tcPr>
            <w:tcW w:w="2469"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（电话、传真、邮址）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单位成立时间</w:t>
            </w:r>
          </w:p>
        </w:tc>
        <w:tc>
          <w:tcPr>
            <w:tcW w:w="6435" w:type="dxa"/>
            <w:gridSpan w:val="3"/>
            <w:vAlign w:val="center"/>
          </w:tcPr>
          <w:p>
            <w:pPr>
              <w:jc w:val="center"/>
              <w:rPr>
                <w:rFonts w:hint="eastAsia" w:asciiTheme="minorEastAsia" w:hAnsiTheme="minorEastAsia" w:eastAsiaTheme="minorEastAsia" w:cstheme="minorEastAsia"/>
                <w:bCs/>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说明：1、该表填写必须清楚，准确无误，真实有效；</w:t>
      </w:r>
    </w:p>
    <w:p>
      <w:pPr>
        <w:spacing w:line="360" w:lineRule="auto"/>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2、对本表中任何内容的修改，必须加盖公章予以确认；</w:t>
      </w:r>
    </w:p>
    <w:p>
      <w:pPr>
        <w:spacing w:line="360" w:lineRule="auto"/>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3、该表后附有效的营业执照、税务登记证、组织机构代码证（或三证合一的营业执照）复印件（加盖公章），相关行业资格资质证明等复印件（加盖公章）。</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 （公章）：</w:t>
      </w:r>
    </w:p>
    <w:p>
      <w:pPr>
        <w:spacing w:line="36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法定代表人或投标人全权代表：（签字或盖章）</w:t>
      </w:r>
    </w:p>
    <w:p>
      <w:pPr>
        <w:spacing w:line="440" w:lineRule="exact"/>
        <w:ind w:firstLine="240" w:firstLineChars="100"/>
        <w:jc w:val="right"/>
        <w:rPr>
          <w:rFonts w:hint="eastAsia" w:asciiTheme="minorEastAsia" w:hAnsiTheme="minorEastAsia" w:eastAsiaTheme="minorEastAsia" w:cstheme="minorEastAsia"/>
          <w:color w:val="auto"/>
          <w:sz w:val="24"/>
          <w:szCs w:val="24"/>
        </w:rPr>
      </w:pPr>
    </w:p>
    <w:p>
      <w:pPr>
        <w:spacing w:line="440" w:lineRule="exact"/>
        <w:ind w:firstLine="240" w:firstLineChars="1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pPr>
        <w:spacing w:line="360" w:lineRule="auto"/>
        <w:jc w:val="left"/>
        <w:rPr>
          <w:rFonts w:hint="eastAsia" w:asciiTheme="minorEastAsia" w:hAnsiTheme="minorEastAsia" w:eastAsiaTheme="minorEastAsia" w:cstheme="minorEastAsia"/>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bookmarkEnd w:id="104"/>
    <w:p>
      <w:pPr>
        <w:spacing w:line="380" w:lineRule="exact"/>
        <w:jc w:val="left"/>
        <w:outlineLvl w:val="9"/>
        <w:rPr>
          <w:rFonts w:hint="eastAsia" w:asciiTheme="minorEastAsia" w:hAnsiTheme="minorEastAsia" w:eastAsiaTheme="minorEastAsia" w:cstheme="minorEastAsia"/>
          <w:color w:val="auto"/>
          <w:sz w:val="24"/>
          <w:szCs w:val="24"/>
        </w:rPr>
      </w:pPr>
      <w:bookmarkStart w:id="107" w:name="_Toc9840"/>
      <w:bookmarkStart w:id="108" w:name="_Toc5063"/>
      <w:r>
        <w:rPr>
          <w:rFonts w:hint="eastAsia" w:asciiTheme="minorEastAsia" w:hAnsiTheme="minorEastAsia" w:eastAsiaTheme="minorEastAsia" w:cstheme="minorEastAsia"/>
          <w:color w:val="auto"/>
          <w:sz w:val="24"/>
          <w:szCs w:val="24"/>
        </w:rPr>
        <w:t>附件十</w:t>
      </w:r>
      <w:r>
        <w:rPr>
          <w:rFonts w:hint="eastAsia" w:asciiTheme="minorEastAsia" w:hAnsiTheme="minorEastAsia" w:eastAsiaTheme="minorEastAsia" w:cstheme="minorEastAsia"/>
          <w:color w:val="auto"/>
          <w:sz w:val="24"/>
          <w:szCs w:val="24"/>
          <w:lang w:eastAsia="zh-CN"/>
        </w:rPr>
        <w:t>二</w:t>
      </w:r>
      <w:r>
        <w:rPr>
          <w:rFonts w:hint="eastAsia" w:asciiTheme="minorEastAsia" w:hAnsiTheme="minorEastAsia" w:eastAsiaTheme="minorEastAsia" w:cstheme="minorEastAsia"/>
          <w:color w:val="auto"/>
          <w:sz w:val="24"/>
          <w:szCs w:val="24"/>
        </w:rPr>
        <w:t>：</w:t>
      </w:r>
      <w:bookmarkEnd w:id="107"/>
    </w:p>
    <w:p>
      <w:pPr>
        <w:spacing w:line="380" w:lineRule="exact"/>
        <w:jc w:val="center"/>
        <w:outlineLvl w:val="9"/>
        <w:rPr>
          <w:rFonts w:hint="eastAsia" w:asciiTheme="minorEastAsia" w:hAnsiTheme="minorEastAsia" w:eastAsiaTheme="minorEastAsia" w:cstheme="minorEastAsia"/>
          <w:b/>
          <w:bCs/>
          <w:color w:val="auto"/>
          <w:sz w:val="24"/>
          <w:szCs w:val="24"/>
        </w:rPr>
      </w:pPr>
      <w:bookmarkStart w:id="109" w:name="_Toc19413"/>
      <w:r>
        <w:rPr>
          <w:rFonts w:hint="eastAsia" w:asciiTheme="minorEastAsia" w:hAnsiTheme="minorEastAsia" w:eastAsiaTheme="minorEastAsia" w:cstheme="minorEastAsia"/>
          <w:b/>
          <w:bCs/>
          <w:color w:val="auto"/>
          <w:sz w:val="24"/>
          <w:szCs w:val="24"/>
        </w:rPr>
        <w:t>一、中小企业声明函</w:t>
      </w:r>
      <w:bookmarkEnd w:id="108"/>
      <w:bookmarkEnd w:id="109"/>
      <w:r>
        <w:rPr>
          <w:rFonts w:hint="eastAsia" w:asciiTheme="minorEastAsia" w:hAnsiTheme="minorEastAsia" w:eastAsiaTheme="minorEastAsia" w:cstheme="minorEastAsia"/>
          <w:b/>
          <w:bCs/>
          <w:color w:val="auto"/>
          <w:sz w:val="24"/>
          <w:szCs w:val="24"/>
          <w:lang w:eastAsia="zh-CN"/>
        </w:rPr>
        <w:t>（如有）</w:t>
      </w:r>
    </w:p>
    <w:p>
      <w:pPr>
        <w:pStyle w:val="19"/>
        <w:shd w:val="clear" w:color="auto" w:fill="FFFFFF"/>
        <w:spacing w:line="560" w:lineRule="exact"/>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　　本公司郑重声明，根据《政府采购促进中小企业发展暂行办法》（财库〔2011〕181号）的规定，本公司为______（请填写：中型、小型、微型）企业。即，本公司同时满足以下条件：</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1.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9"/>
        <w:numPr>
          <w:ilvl w:val="0"/>
          <w:numId w:val="11"/>
          <w:numberingChange w:id="0" w:author="TianLL" w:date="2017-05-08T18:39:00Z" w:original="%1:3:0:."/>
        </w:numPr>
        <w:shd w:val="clear" w:color="auto" w:fill="FFFFFF"/>
        <w:spacing w:line="560" w:lineRule="exact"/>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提交本声明函的投标人必须在投标文件中提供相应的证明材料并对材料的真实性负法律责任。证明材料包括：上一年度资产负债表、损益表；从业人员名单、身份证号及工资发放明细表上述证件原件缺一不可。　　</w:t>
      </w:r>
    </w:p>
    <w:p>
      <w:pPr>
        <w:pStyle w:val="19"/>
        <w:numPr>
          <w:ilvl w:val="0"/>
          <w:numId w:val="11"/>
          <w:numberingChange w:id="1" w:author="TianLL" w:date="2017-05-08T18:39:00Z" w:original="%1:4:0:."/>
        </w:numPr>
        <w:shd w:val="clear" w:color="auto" w:fill="FFFFFF"/>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本公司对上述声明的真实性负责。如有虚假，将依法承担相应责任。</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企业名称（盖章）：</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日   期：　　</w:t>
      </w:r>
    </w:p>
    <w:p>
      <w:pPr>
        <w:pStyle w:val="32"/>
        <w:spacing w:line="520" w:lineRule="exact"/>
        <w:jc w:val="both"/>
        <w:rPr>
          <w:rFonts w:hint="eastAsia" w:asciiTheme="minorEastAsia" w:hAnsiTheme="minorEastAsia" w:eastAsiaTheme="minorEastAsia" w:cstheme="minorEastAsia"/>
          <w:b/>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pStyle w:val="21"/>
        <w:rPr>
          <w:rFonts w:hint="eastAsia"/>
          <w:color w:val="auto"/>
        </w:rPr>
      </w:pPr>
    </w:p>
    <w:p>
      <w:pPr>
        <w:spacing w:line="380" w:lineRule="exact"/>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color w:val="auto"/>
          <w:sz w:val="24"/>
          <w:szCs w:val="24"/>
        </w:rPr>
      </w:pPr>
      <w:bookmarkStart w:id="110" w:name="_Toc31611"/>
      <w:bookmarkStart w:id="111" w:name="_Toc10287"/>
      <w:bookmarkStart w:id="112" w:name="_Toc30423"/>
      <w:r>
        <w:rPr>
          <w:rFonts w:hint="eastAsia" w:asciiTheme="minorEastAsia" w:hAnsiTheme="minorEastAsia" w:eastAsiaTheme="minorEastAsia" w:cstheme="minorEastAsia"/>
          <w:color w:val="auto"/>
          <w:sz w:val="24"/>
          <w:szCs w:val="24"/>
        </w:rPr>
        <w:t>二、环境标志产品明细表</w:t>
      </w:r>
      <w:bookmarkEnd w:id="110"/>
      <w:bookmarkEnd w:id="111"/>
      <w:bookmarkEnd w:id="112"/>
      <w:r>
        <w:rPr>
          <w:rFonts w:hint="eastAsia" w:asciiTheme="minorEastAsia" w:hAnsiTheme="minorEastAsia" w:eastAsiaTheme="minorEastAsia" w:cstheme="minorEastAsia"/>
          <w:color w:val="auto"/>
          <w:kern w:val="1"/>
          <w:sz w:val="24"/>
          <w:szCs w:val="24"/>
          <w:lang w:eastAsia="zh-CN"/>
        </w:rPr>
        <w:t>（如有）</w:t>
      </w:r>
    </w:p>
    <w:p>
      <w:pPr>
        <w:spacing w:line="196" w:lineRule="exact"/>
        <w:rPr>
          <w:rFonts w:hint="eastAsia" w:asciiTheme="minorEastAsia" w:hAnsiTheme="minorEastAsia" w:eastAsiaTheme="minorEastAsia" w:cstheme="minorEastAsia"/>
          <w:color w:val="auto"/>
          <w:sz w:val="24"/>
          <w:szCs w:val="24"/>
        </w:rPr>
      </w:pPr>
    </w:p>
    <w:p>
      <w:pPr>
        <w:spacing w:line="23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r>
        <w:rPr>
          <w:rFonts w:hint="eastAsia" w:asciiTheme="minorEastAsia" w:hAnsiTheme="minorEastAsia" w:eastAsiaTheme="minorEastAsia" w:cstheme="minorEastAsia"/>
          <w:color w:val="auto"/>
          <w:w w:val="98"/>
          <w:sz w:val="24"/>
          <w:szCs w:val="24"/>
        </w:rPr>
        <w:t xml:space="preserve">                           </w:t>
      </w:r>
      <w:r>
        <w:rPr>
          <w:rFonts w:hint="eastAsia" w:asciiTheme="minorEastAsia" w:hAnsiTheme="minorEastAsia" w:eastAsiaTheme="minorEastAsia" w:cstheme="minorEastAsia"/>
          <w:color w:val="auto"/>
          <w:sz w:val="24"/>
          <w:szCs w:val="24"/>
        </w:rPr>
        <w:t>价格单位：元</w:t>
      </w:r>
    </w:p>
    <w:p>
      <w:pPr>
        <w:spacing w:line="97" w:lineRule="exact"/>
        <w:rPr>
          <w:rFonts w:hint="eastAsia" w:asciiTheme="minorEastAsia" w:hAnsiTheme="minorEastAsia" w:eastAsiaTheme="minorEastAsia" w:cstheme="minorEastAsia"/>
          <w:color w:val="auto"/>
          <w:sz w:val="24"/>
          <w:szCs w:val="24"/>
        </w:rPr>
      </w:pPr>
    </w:p>
    <w:tbl>
      <w:tblPr>
        <w:tblStyle w:val="22"/>
        <w:tblpPr w:leftFromText="180" w:rightFromText="180" w:vertAnchor="text" w:horzAnchor="page" w:tblpXSpec="center" w:tblpY="104"/>
        <w:tblOverlap w:val="never"/>
        <w:tblW w:w="8700" w:type="dxa"/>
        <w:jc w:val="center"/>
        <w:tblLayout w:type="fixed"/>
        <w:tblCellMar>
          <w:top w:w="0" w:type="dxa"/>
          <w:left w:w="0" w:type="dxa"/>
          <w:bottom w:w="0" w:type="dxa"/>
          <w:right w:w="0" w:type="dxa"/>
        </w:tblCellMar>
      </w:tblPr>
      <w:tblGrid>
        <w:gridCol w:w="777"/>
        <w:gridCol w:w="575"/>
        <w:gridCol w:w="1050"/>
        <w:gridCol w:w="873"/>
        <w:gridCol w:w="1131"/>
        <w:gridCol w:w="1145"/>
        <w:gridCol w:w="1001"/>
        <w:gridCol w:w="716"/>
        <w:gridCol w:w="716"/>
        <w:gridCol w:w="716"/>
      </w:tblGrid>
      <w:tr>
        <w:tblPrEx>
          <w:tblCellMar>
            <w:top w:w="0" w:type="dxa"/>
            <w:left w:w="0" w:type="dxa"/>
            <w:bottom w:w="0" w:type="dxa"/>
            <w:right w:w="0" w:type="dxa"/>
          </w:tblCellMar>
        </w:tblPrEx>
        <w:trPr>
          <w:trHeight w:val="837" w:hRule="atLeast"/>
          <w:jc w:val="center"/>
        </w:trPr>
        <w:tc>
          <w:tcPr>
            <w:tcW w:w="777" w:type="dxa"/>
            <w:vMerge w:val="restart"/>
            <w:tcBorders>
              <w:top w:val="single" w:color="auto" w:sz="8" w:space="0"/>
              <w:left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575"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050"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企业名称</w:t>
            </w:r>
          </w:p>
        </w:tc>
        <w:tc>
          <w:tcPr>
            <w:tcW w:w="873"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131"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规格型号</w:t>
            </w:r>
          </w:p>
        </w:tc>
        <w:tc>
          <w:tcPr>
            <w:tcW w:w="1145" w:type="dxa"/>
            <w:vMerge w:val="restart"/>
            <w:tcBorders>
              <w:top w:val="single" w:color="auto" w:sz="8" w:space="0"/>
              <w:right w:val="single" w:color="auto" w:sz="8" w:space="0"/>
            </w:tcBorders>
            <w:vAlign w:val="center"/>
          </w:tcPr>
          <w:p>
            <w:pPr>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中国环境标志认证证书编号</w:t>
            </w:r>
          </w:p>
        </w:tc>
        <w:tc>
          <w:tcPr>
            <w:tcW w:w="1001"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认证证书</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有效截止</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tc>
        <w:tc>
          <w:tcPr>
            <w:tcW w:w="2148" w:type="dxa"/>
            <w:gridSpan w:val="3"/>
            <w:tcBorders>
              <w:top w:val="single" w:color="auto" w:sz="8" w:space="0"/>
              <w:bottom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CellMar>
            <w:top w:w="0" w:type="dxa"/>
            <w:left w:w="0" w:type="dxa"/>
            <w:bottom w:w="0" w:type="dxa"/>
            <w:right w:w="0" w:type="dxa"/>
          </w:tblCellMar>
        </w:tblPrEx>
        <w:trPr>
          <w:trHeight w:val="570" w:hRule="atLeast"/>
          <w:jc w:val="center"/>
        </w:trPr>
        <w:tc>
          <w:tcPr>
            <w:tcW w:w="777" w:type="dxa"/>
            <w:vMerge w:val="continue"/>
            <w:tcBorders>
              <w:left w:val="single" w:color="auto" w:sz="8" w:space="0"/>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575"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050"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873"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131"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145"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001"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CellMar>
            <w:top w:w="0" w:type="dxa"/>
            <w:left w:w="0" w:type="dxa"/>
            <w:bottom w:w="0" w:type="dxa"/>
            <w:right w:w="0" w:type="dxa"/>
          </w:tblCellMar>
        </w:tblPrEx>
        <w:trPr>
          <w:trHeight w:val="787"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bl>
    <w:p>
      <w:pPr>
        <w:spacing w:line="86" w:lineRule="exact"/>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环境标志产品根据财政部、环境保护部最新公布的环境标志产品政府采购清单确定。</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(附有效环保产品政府采购清单所在页复印件，评委按环保产品政府采购清单要求进行核查，未附复印件的不予认可)</w:t>
      </w:r>
    </w:p>
    <w:p>
      <w:pPr>
        <w:spacing w:line="360" w:lineRule="auto"/>
        <w:ind w:firstLine="480" w:firstLineChars="200"/>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2、如所投产品为环保产品，必须按规定格式逐项填写，否则评审时不予加分。</w:t>
      </w:r>
    </w:p>
    <w:p>
      <w:pPr>
        <w:tabs>
          <w:tab w:val="left" w:pos="6857"/>
        </w:tabs>
        <w:rPr>
          <w:rFonts w:hint="eastAsia" w:asciiTheme="minorEastAsia" w:hAnsiTheme="minorEastAsia" w:eastAsiaTheme="minorEastAsia" w:cstheme="minorEastAsia"/>
          <w:color w:val="auto"/>
          <w:sz w:val="24"/>
          <w:szCs w:val="24"/>
        </w:rPr>
      </w:pPr>
      <w:bookmarkStart w:id="113" w:name="_Toc9326"/>
    </w:p>
    <w:p>
      <w:pPr>
        <w:tabs>
          <w:tab w:val="left" w:pos="6857"/>
        </w:tabs>
        <w:rPr>
          <w:rFonts w:hint="eastAsia" w:asciiTheme="minorEastAsia" w:hAnsiTheme="minorEastAsia" w:eastAsiaTheme="minorEastAsia" w:cstheme="minorEastAsia"/>
          <w:color w:val="auto"/>
          <w:sz w:val="24"/>
          <w:szCs w:val="24"/>
        </w:rPr>
      </w:pPr>
    </w:p>
    <w:p>
      <w:pPr>
        <w:tabs>
          <w:tab w:val="left" w:pos="6857"/>
        </w:tabs>
        <w:ind w:firstLine="6480" w:firstLineChars="2700"/>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bookmarkEnd w:id="113"/>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ind w:firstLine="240" w:firstLineChars="100"/>
        <w:jc w:val="center"/>
        <w:outlineLvl w:val="9"/>
        <w:rPr>
          <w:rFonts w:hint="eastAsia" w:asciiTheme="minorEastAsia" w:hAnsiTheme="minorEastAsia" w:eastAsiaTheme="minorEastAsia" w:cstheme="minorEastAsia"/>
          <w:color w:val="auto"/>
          <w:kern w:val="1"/>
          <w:sz w:val="24"/>
          <w:szCs w:val="24"/>
          <w:lang w:eastAsia="zh-CN"/>
        </w:rPr>
      </w:pPr>
      <w:bookmarkStart w:id="114" w:name="_Toc26394"/>
      <w:bookmarkStart w:id="115" w:name="_Toc15189"/>
      <w:bookmarkStart w:id="116" w:name="_Toc441"/>
      <w:r>
        <w:rPr>
          <w:rFonts w:hint="eastAsia" w:asciiTheme="minorEastAsia" w:hAnsiTheme="minorEastAsia" w:eastAsiaTheme="minorEastAsia" w:cstheme="minorEastAsia"/>
          <w:color w:val="auto"/>
          <w:kern w:val="1"/>
          <w:sz w:val="24"/>
          <w:szCs w:val="24"/>
        </w:rPr>
        <w:t>三、节能产品明细表</w:t>
      </w:r>
      <w:bookmarkEnd w:id="114"/>
      <w:bookmarkEnd w:id="115"/>
      <w:bookmarkEnd w:id="116"/>
      <w:r>
        <w:rPr>
          <w:rFonts w:hint="eastAsia" w:asciiTheme="minorEastAsia" w:hAnsiTheme="minorEastAsia" w:eastAsiaTheme="minorEastAsia" w:cstheme="minorEastAsia"/>
          <w:color w:val="auto"/>
          <w:kern w:val="1"/>
          <w:sz w:val="24"/>
          <w:szCs w:val="24"/>
          <w:lang w:eastAsia="zh-CN"/>
        </w:rPr>
        <w:t>（如有）</w:t>
      </w:r>
    </w:p>
    <w:p>
      <w:pPr>
        <w:spacing w:line="23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                           价格单位：元</w:t>
      </w:r>
    </w:p>
    <w:tbl>
      <w:tblPr>
        <w:tblStyle w:val="22"/>
        <w:tblpPr w:leftFromText="180" w:rightFromText="180" w:vertAnchor="text" w:horzAnchor="page" w:tblpXSpec="center" w:tblpY="229"/>
        <w:tblOverlap w:val="never"/>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84"/>
        <w:gridCol w:w="872"/>
        <w:gridCol w:w="661"/>
        <w:gridCol w:w="992"/>
        <w:gridCol w:w="1022"/>
        <w:gridCol w:w="1537"/>
        <w:gridCol w:w="600"/>
        <w:gridCol w:w="68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7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984"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87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661"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99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102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节能标志认证证书</w:t>
            </w:r>
          </w:p>
        </w:tc>
        <w:tc>
          <w:tcPr>
            <w:tcW w:w="1537"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节能产品认证证书有效截止日期</w:t>
            </w:r>
          </w:p>
        </w:tc>
        <w:tc>
          <w:tcPr>
            <w:tcW w:w="1840" w:type="dxa"/>
            <w:gridSpan w:val="3"/>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7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84"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7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661"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9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02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537"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60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68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56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bl>
    <w:p>
      <w:pPr>
        <w:rPr>
          <w:rFonts w:hint="eastAsia" w:asciiTheme="minorEastAsia" w:hAnsiTheme="minorEastAsia" w:eastAsiaTheme="minorEastAsia" w:cstheme="minorEastAsia"/>
          <w:color w:val="auto"/>
          <w:sz w:val="24"/>
          <w:szCs w:val="24"/>
        </w:rPr>
      </w:pPr>
    </w:p>
    <w:p>
      <w:pPr>
        <w:spacing w:line="560" w:lineRule="exact"/>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说明：1、节能产品根据</w:t>
      </w:r>
      <w:r>
        <w:rPr>
          <w:rFonts w:hint="eastAsia" w:asciiTheme="minorEastAsia" w:hAnsiTheme="minorEastAsia" w:eastAsiaTheme="minorEastAsia" w:cstheme="minorEastAsia"/>
          <w:b/>
          <w:bCs/>
          <w:color w:val="auto"/>
          <w:sz w:val="24"/>
          <w:szCs w:val="24"/>
        </w:rPr>
        <w:t>财政部、国家发展改革委</w:t>
      </w:r>
      <w:r>
        <w:rPr>
          <w:rFonts w:hint="eastAsia" w:asciiTheme="minorEastAsia" w:hAnsiTheme="minorEastAsia" w:eastAsiaTheme="minorEastAsia" w:cstheme="minorEastAsia"/>
          <w:color w:val="auto"/>
          <w:sz w:val="24"/>
          <w:szCs w:val="24"/>
        </w:rPr>
        <w:t>最新公布的节能产品政府采购清单确定。(附有效节能产品政府采购清单所在页复印件，评委按节能产品政府采购清单要求进行核查，未附复印件的不予认可。）</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2、如所投产品为节能产品（强制采购产品除外），必须按规定格式逐项填写，否则评审时不予加分。</w:t>
      </w:r>
    </w:p>
    <w:p>
      <w:pPr>
        <w:spacing w:line="560" w:lineRule="exact"/>
        <w:rPr>
          <w:rFonts w:hint="eastAsia" w:asciiTheme="minorEastAsia" w:hAnsiTheme="minorEastAsia" w:eastAsiaTheme="minorEastAsia" w:cstheme="minorEastAsia"/>
          <w:color w:val="auto"/>
          <w:sz w:val="24"/>
          <w:szCs w:val="24"/>
        </w:rPr>
      </w:pPr>
    </w:p>
    <w:p>
      <w:pPr>
        <w:spacing w:line="560" w:lineRule="exact"/>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p>
    <w:p>
      <w:pPr>
        <w:outlineLvl w:val="9"/>
        <w:rPr>
          <w:rFonts w:hint="eastAsia" w:asciiTheme="minorEastAsia" w:hAnsiTheme="minorEastAsia" w:eastAsiaTheme="minorEastAsia" w:cstheme="minorEastAsia"/>
          <w:color w:val="auto"/>
          <w:kern w:val="1"/>
          <w:sz w:val="24"/>
          <w:szCs w:val="24"/>
        </w:rPr>
      </w:pPr>
      <w:bookmarkStart w:id="117" w:name="_Toc4779"/>
      <w:bookmarkStart w:id="118" w:name="_Toc29132"/>
    </w:p>
    <w:p>
      <w:pPr>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spacing w:line="360" w:lineRule="auto"/>
        <w:jc w:val="center"/>
        <w:outlineLvl w:val="9"/>
        <w:rPr>
          <w:rFonts w:hint="eastAsia" w:asciiTheme="minorEastAsia" w:hAnsiTheme="minorEastAsia" w:eastAsiaTheme="minorEastAsia" w:cstheme="minorEastAsia"/>
          <w:color w:val="auto"/>
          <w:kern w:val="1"/>
          <w:sz w:val="24"/>
          <w:szCs w:val="24"/>
        </w:rPr>
      </w:pPr>
      <w:bookmarkStart w:id="119" w:name="_Toc4446"/>
      <w:r>
        <w:rPr>
          <w:rFonts w:hint="eastAsia" w:asciiTheme="minorEastAsia" w:hAnsiTheme="minorEastAsia" w:eastAsiaTheme="minorEastAsia" w:cstheme="minorEastAsia"/>
          <w:color w:val="auto"/>
          <w:kern w:val="1"/>
          <w:sz w:val="24"/>
          <w:szCs w:val="24"/>
        </w:rPr>
        <w:t>四、政府强制采购节能产品明细表</w:t>
      </w:r>
      <w:bookmarkEnd w:id="117"/>
      <w:bookmarkEnd w:id="118"/>
      <w:bookmarkEnd w:id="119"/>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98"/>
          <w:sz w:val="24"/>
          <w:szCs w:val="24"/>
        </w:rPr>
        <w:t>投标人名称（公章）：</w:t>
      </w:r>
    </w:p>
    <w:tbl>
      <w:tblPr>
        <w:tblStyle w:val="22"/>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8"/>
        <w:gridCol w:w="1148"/>
        <w:gridCol w:w="873"/>
        <w:gridCol w:w="1309"/>
        <w:gridCol w:w="134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56"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9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14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873"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309"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134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节能标志认证证书</w:t>
            </w:r>
          </w:p>
        </w:tc>
        <w:tc>
          <w:tcPr>
            <w:tcW w:w="202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6"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29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14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73"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09"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4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202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6" w:type="dxa"/>
            <w:vAlign w:val="top"/>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说明：1、政府采购强制节能产品根据</w:t>
      </w:r>
      <w:r>
        <w:rPr>
          <w:rFonts w:hint="eastAsia" w:asciiTheme="minorEastAsia" w:hAnsiTheme="minorEastAsia" w:eastAsiaTheme="minorEastAsia" w:cstheme="minorEastAsia"/>
          <w:b/>
          <w:bCs/>
          <w:color w:val="auto"/>
          <w:kern w:val="1"/>
          <w:sz w:val="24"/>
          <w:szCs w:val="24"/>
        </w:rPr>
        <w:t>财政部、国家发展改革委</w:t>
      </w:r>
      <w:r>
        <w:rPr>
          <w:rFonts w:hint="eastAsia" w:asciiTheme="minorEastAsia" w:hAnsiTheme="minorEastAsia" w:eastAsiaTheme="minorEastAsia" w:cstheme="minorEastAsia"/>
          <w:color w:val="auto"/>
          <w:kern w:val="1"/>
          <w:sz w:val="24"/>
          <w:szCs w:val="24"/>
        </w:rPr>
        <w:t>最新公布的节能产品政府采购清单确定。</w:t>
      </w:r>
    </w:p>
    <w:p>
      <w:pPr>
        <w:spacing w:line="360" w:lineRule="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2、如所投产品为政府强制采购节能产品，必须按规定格式逐项填写，否则按无效投标处理。</w:t>
      </w: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p>
    <w:p>
      <w:pPr>
        <w:spacing w:line="200" w:lineRule="exact"/>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pStyle w:val="21"/>
        <w:rPr>
          <w:rFonts w:hint="eastAsia"/>
          <w:color w:val="auto"/>
        </w:rPr>
      </w:pPr>
    </w:p>
    <w:p>
      <w:pPr>
        <w:rPr>
          <w:rFonts w:hint="eastAsia" w:asciiTheme="minorEastAsia" w:hAnsiTheme="minorEastAsia" w:eastAsiaTheme="minorEastAsia" w:cstheme="minorEastAsia"/>
          <w:color w:val="auto"/>
          <w:kern w:val="1"/>
          <w:sz w:val="24"/>
          <w:szCs w:val="24"/>
        </w:rPr>
      </w:pPr>
    </w:p>
    <w:p>
      <w:pPr>
        <w:jc w:val="center"/>
        <w:outlineLvl w:val="9"/>
        <w:rPr>
          <w:rFonts w:hint="eastAsia" w:asciiTheme="minorEastAsia" w:hAnsiTheme="minorEastAsia" w:eastAsiaTheme="minorEastAsia" w:cstheme="minorEastAsia"/>
          <w:color w:val="auto"/>
          <w:kern w:val="1"/>
          <w:sz w:val="24"/>
          <w:szCs w:val="24"/>
        </w:rPr>
      </w:pPr>
      <w:bookmarkStart w:id="120" w:name="_Toc11979"/>
      <w:bookmarkStart w:id="121" w:name="_Toc5501"/>
      <w:bookmarkStart w:id="122" w:name="_Toc23895"/>
      <w:r>
        <w:rPr>
          <w:rFonts w:hint="eastAsia" w:asciiTheme="minorEastAsia" w:hAnsiTheme="minorEastAsia" w:eastAsiaTheme="minorEastAsia" w:cstheme="minorEastAsia"/>
          <w:color w:val="auto"/>
          <w:kern w:val="1"/>
          <w:sz w:val="24"/>
          <w:szCs w:val="24"/>
        </w:rPr>
        <w:t>五、小型、微型企业产品明细表</w:t>
      </w:r>
      <w:bookmarkEnd w:id="120"/>
      <w:bookmarkEnd w:id="121"/>
      <w:bookmarkEnd w:id="122"/>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98"/>
          <w:sz w:val="24"/>
          <w:szCs w:val="24"/>
        </w:rPr>
        <w:t xml:space="preserve">投标人名称（公章）：                            </w:t>
      </w:r>
      <w:r>
        <w:rPr>
          <w:rFonts w:hint="eastAsia" w:asciiTheme="minorEastAsia" w:hAnsiTheme="minorEastAsia" w:eastAsiaTheme="minorEastAsia" w:cstheme="minorEastAsia"/>
          <w:color w:val="auto"/>
          <w:sz w:val="24"/>
          <w:szCs w:val="24"/>
        </w:rPr>
        <w:t>价格单位：元</w:t>
      </w:r>
    </w:p>
    <w:tbl>
      <w:tblPr>
        <w:tblStyle w:val="2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68"/>
        <w:gridCol w:w="1300"/>
        <w:gridCol w:w="988"/>
        <w:gridCol w:w="1481"/>
        <w:gridCol w:w="898"/>
        <w:gridCol w:w="1014"/>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56"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46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300"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98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481"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2747" w:type="dxa"/>
            <w:gridSpan w:val="3"/>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46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00"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8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481"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98"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1014"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835"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56" w:type="dxa"/>
            <w:vAlign w:val="top"/>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说明：如所投货物为小型、微型企业产品，须按本附件规定格式逐项填写并按附件 五 规定提供《中小企业声明函》、《从业人员声明函》、从业人员名单、身份证号及工资发放明细表、上一年度资产负债表、损益表的原件，否则评分时不予认可。所投产品不是小型、微型企业产品，则不需要填写本表。</w:t>
      </w: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numPr>
          <w:ilvl w:val="0"/>
          <w:numId w:val="13"/>
        </w:numPr>
        <w:jc w:val="center"/>
        <w:outlineLvl w:val="0"/>
        <w:rPr>
          <w:rFonts w:hint="eastAsia" w:asciiTheme="majorEastAsia" w:hAnsiTheme="majorEastAsia" w:eastAsiaTheme="majorEastAsia" w:cstheme="majorEastAsia"/>
          <w:b/>
          <w:bCs/>
          <w:color w:val="auto"/>
          <w:kern w:val="2"/>
          <w:sz w:val="32"/>
          <w:szCs w:val="32"/>
        </w:rPr>
      </w:pPr>
      <w:bookmarkStart w:id="123" w:name="_Toc8507"/>
      <w:r>
        <w:rPr>
          <w:rFonts w:hint="eastAsia" w:asciiTheme="majorEastAsia" w:hAnsiTheme="majorEastAsia" w:eastAsiaTheme="majorEastAsia" w:cstheme="majorEastAsia"/>
          <w:b/>
          <w:bCs/>
          <w:color w:val="auto"/>
          <w:sz w:val="32"/>
          <w:szCs w:val="32"/>
        </w:rPr>
        <w:t>评分细则</w:t>
      </w:r>
      <w:bookmarkEnd w:id="123"/>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一、评审方法</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评审采用综合评分法，将依据供应商响应文件对其资信、业绩、投标产品质量、服务、技术方案、价格等各项因素进行评价，综合评选出最佳报价方案。每一供应商的最终得分为所有评委评分的算术平均值。最高得分的供应商为成交供应商。得分相同的，报价较低的一方为成交供应商。得分且报价相同的，技术指标较优的一方为成交供应商。</w:t>
      </w:r>
    </w:p>
    <w:p>
      <w:pPr>
        <w:pStyle w:val="21"/>
        <w:ind w:left="0" w:leftChars="0" w:firstLine="0" w:firstLineChars="0"/>
        <w:rPr>
          <w:rFonts w:hint="eastAsia" w:asciiTheme="minorEastAsia" w:hAnsiTheme="minorEastAsia" w:eastAsiaTheme="minorEastAsia" w:cstheme="minorEastAsia"/>
          <w:b/>
          <w:bCs/>
          <w:color w:val="auto"/>
          <w:spacing w:val="1"/>
          <w:sz w:val="24"/>
          <w:szCs w:val="24"/>
          <w:lang w:eastAsia="en-US"/>
        </w:rPr>
      </w:pPr>
      <w:r>
        <w:rPr>
          <w:rFonts w:hint="eastAsia" w:asciiTheme="minorEastAsia" w:hAnsiTheme="minorEastAsia" w:eastAsiaTheme="minorEastAsia" w:cstheme="minorEastAsia"/>
          <w:color w:val="auto"/>
          <w:sz w:val="24"/>
          <w:szCs w:val="24"/>
          <w:lang w:eastAsia="zh-CN"/>
        </w:rPr>
        <w:t>二、评审细则</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693"/>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644" w:type="pct"/>
            <w:noWrap w:val="0"/>
            <w:tcMar>
              <w:top w:w="20" w:type="dxa"/>
              <w:left w:w="20" w:type="dxa"/>
              <w:bottom w:w="20" w:type="dxa"/>
              <w:right w:w="20" w:type="dxa"/>
            </w:tcMar>
            <w:vAlign w:val="center"/>
          </w:tcPr>
          <w:p>
            <w:pPr>
              <w:spacing w:line="360" w:lineRule="auto"/>
              <w:ind w:firstLine="0" w:firstLineChars="0"/>
              <w:jc w:val="center"/>
              <w:rPr>
                <w:rFonts w:hint="eastAsia" w:ascii="宋体" w:hAnsi="宋体" w:cs="仿宋"/>
                <w:sz w:val="24"/>
                <w:szCs w:val="24"/>
              </w:rPr>
            </w:pPr>
            <w:r>
              <w:rPr>
                <w:rFonts w:hint="eastAsia" w:ascii="宋体" w:hAnsi="宋体" w:cs="仿宋"/>
                <w:sz w:val="24"/>
                <w:szCs w:val="24"/>
              </w:rPr>
              <w:t>评分项目</w:t>
            </w:r>
          </w:p>
        </w:tc>
        <w:tc>
          <w:tcPr>
            <w:tcW w:w="415" w:type="pct"/>
            <w:noWrap w:val="0"/>
            <w:tcMar>
              <w:top w:w="20" w:type="dxa"/>
              <w:left w:w="20" w:type="dxa"/>
              <w:bottom w:w="20" w:type="dxa"/>
              <w:right w:w="20" w:type="dxa"/>
            </w:tcMar>
            <w:vAlign w:val="center"/>
          </w:tcPr>
          <w:p>
            <w:pPr>
              <w:spacing w:line="360" w:lineRule="auto"/>
              <w:ind w:firstLine="0" w:firstLineChars="0"/>
              <w:jc w:val="center"/>
              <w:rPr>
                <w:rFonts w:hint="eastAsia" w:ascii="宋体" w:hAnsi="宋体" w:cs="仿宋"/>
                <w:sz w:val="24"/>
                <w:szCs w:val="24"/>
              </w:rPr>
            </w:pPr>
            <w:r>
              <w:rPr>
                <w:rFonts w:hint="eastAsia" w:ascii="宋体" w:hAnsi="宋体" w:cs="仿宋"/>
                <w:sz w:val="24"/>
                <w:szCs w:val="24"/>
              </w:rPr>
              <w:t>分值</w:t>
            </w:r>
          </w:p>
        </w:tc>
        <w:tc>
          <w:tcPr>
            <w:tcW w:w="3940" w:type="pct"/>
            <w:noWrap w:val="0"/>
            <w:tcMar>
              <w:top w:w="20" w:type="dxa"/>
              <w:left w:w="20" w:type="dxa"/>
              <w:bottom w:w="20" w:type="dxa"/>
              <w:right w:w="20" w:type="dxa"/>
            </w:tcMar>
            <w:vAlign w:val="center"/>
          </w:tcPr>
          <w:p>
            <w:pPr>
              <w:spacing w:line="360" w:lineRule="auto"/>
              <w:ind w:firstLine="0" w:firstLineChars="0"/>
              <w:jc w:val="center"/>
              <w:rPr>
                <w:rFonts w:hint="eastAsia" w:ascii="宋体" w:hAnsi="宋体" w:cs="仿宋"/>
                <w:sz w:val="24"/>
                <w:szCs w:val="24"/>
              </w:rPr>
            </w:pPr>
            <w:r>
              <w:rPr>
                <w:rFonts w:hint="eastAsia" w:ascii="宋体" w:hAnsi="宋体" w:cs="仿宋"/>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44" w:type="pct"/>
            <w:noWrap w:val="0"/>
            <w:tcMar>
              <w:top w:w="20" w:type="dxa"/>
              <w:left w:w="20" w:type="dxa"/>
              <w:bottom w:w="20" w:type="dxa"/>
              <w:right w:w="20" w:type="dxa"/>
            </w:tcMar>
            <w:vAlign w:val="center"/>
          </w:tcPr>
          <w:p>
            <w:pPr>
              <w:spacing w:line="360" w:lineRule="auto"/>
              <w:ind w:firstLine="0" w:firstLineChars="0"/>
              <w:rPr>
                <w:rFonts w:ascii="宋体" w:hAnsi="宋体" w:cs="仿宋"/>
                <w:sz w:val="24"/>
                <w:szCs w:val="24"/>
              </w:rPr>
            </w:pPr>
            <w:r>
              <w:rPr>
                <w:rFonts w:hint="eastAsia" w:ascii="宋体" w:hAnsi="宋体" w:cs="仿宋"/>
                <w:sz w:val="24"/>
                <w:szCs w:val="24"/>
              </w:rPr>
              <w:t>报价</w:t>
            </w:r>
          </w:p>
        </w:tc>
        <w:tc>
          <w:tcPr>
            <w:tcW w:w="415"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ascii="宋体" w:hAnsi="宋体" w:cs="仿宋"/>
                <w:sz w:val="24"/>
                <w:szCs w:val="24"/>
              </w:rPr>
              <w:t>10分</w:t>
            </w:r>
          </w:p>
        </w:tc>
        <w:tc>
          <w:tcPr>
            <w:tcW w:w="3940"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ascii="宋体" w:hAnsi="宋体" w:cs="仿宋"/>
                <w:sz w:val="24"/>
                <w:szCs w:val="24"/>
              </w:rPr>
              <w:t>以满足招标文件要求且报价最低的报价为评审基准价,其价格分满分为1</w:t>
            </w:r>
            <w:r>
              <w:rPr>
                <w:rFonts w:ascii="宋体" w:hAnsi="宋体" w:cs="仿宋"/>
                <w:sz w:val="24"/>
                <w:szCs w:val="24"/>
              </w:rPr>
              <w:t>0</w:t>
            </w:r>
            <w:r>
              <w:rPr>
                <w:rFonts w:hint="eastAsia" w:ascii="宋体" w:hAnsi="宋体" w:cs="仿宋"/>
                <w:sz w:val="24"/>
                <w:szCs w:val="24"/>
              </w:rPr>
              <w:t>分,其他投标人的价格分按照下列公式计算: 报价得分=(评审基准价/报价)×10%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644" w:type="pct"/>
            <w:vMerge w:val="restar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ascii="宋体" w:hAnsi="宋体" w:cs="仿宋"/>
                <w:sz w:val="24"/>
                <w:szCs w:val="24"/>
              </w:rPr>
              <w:t>技术部分</w:t>
            </w:r>
          </w:p>
        </w:tc>
        <w:tc>
          <w:tcPr>
            <w:tcW w:w="415" w:type="pct"/>
            <w:vMerge w:val="restar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ascii="宋体" w:hAnsi="宋体" w:cs="仿宋"/>
                <w:sz w:val="24"/>
                <w:szCs w:val="24"/>
                <w:lang w:val="en-US" w:eastAsia="zh-CN"/>
              </w:rPr>
              <w:t>77</w:t>
            </w:r>
            <w:r>
              <w:rPr>
                <w:rFonts w:hint="eastAsia" w:ascii="宋体" w:hAnsi="宋体" w:cs="仿宋"/>
                <w:sz w:val="24"/>
                <w:szCs w:val="24"/>
              </w:rPr>
              <w:t>分</w:t>
            </w:r>
          </w:p>
        </w:tc>
        <w:tc>
          <w:tcPr>
            <w:tcW w:w="3940" w:type="pct"/>
            <w:noWrap w:val="0"/>
            <w:tcMar>
              <w:top w:w="20" w:type="dxa"/>
              <w:left w:w="20" w:type="dxa"/>
              <w:bottom w:w="20" w:type="dxa"/>
              <w:right w:w="20" w:type="dxa"/>
            </w:tcMar>
            <w:vAlign w:val="center"/>
          </w:tcPr>
          <w:p>
            <w:pPr>
              <w:spacing w:line="360" w:lineRule="auto"/>
              <w:ind w:firstLine="0" w:firstLineChars="0"/>
              <w:rPr>
                <w:rFonts w:hint="eastAsia"/>
              </w:rPr>
            </w:pPr>
            <w:r>
              <w:rPr>
                <w:rFonts w:hint="eastAsia"/>
              </w:rPr>
              <w:t>1、投标人须提供影片制作服务方案，方案需对招标文件要求进行响应。</w:t>
            </w:r>
          </w:p>
          <w:p>
            <w:pPr>
              <w:spacing w:line="360" w:lineRule="auto"/>
              <w:ind w:firstLine="0" w:firstLineChars="0"/>
            </w:pPr>
            <w:r>
              <w:rPr>
                <w:rFonts w:hint="eastAsia"/>
              </w:rPr>
              <w:t>方案完整详细，操作性强，立意高，贴合主题、构成方案合理，完全满足采购需求；得</w:t>
            </w:r>
            <w:r>
              <w:rPr>
                <w:rFonts w:hint="eastAsia"/>
                <w:lang w:val="en-US" w:eastAsia="zh-CN"/>
              </w:rPr>
              <w:t>30</w:t>
            </w:r>
            <w:r>
              <w:rPr>
                <w:rFonts w:hint="eastAsia"/>
              </w:rPr>
              <w:t>分；</w:t>
            </w:r>
          </w:p>
          <w:p>
            <w:pPr>
              <w:spacing w:line="360" w:lineRule="auto"/>
              <w:ind w:firstLine="0" w:firstLineChars="0"/>
              <w:rPr>
                <w:rFonts w:hint="eastAsia"/>
              </w:rPr>
            </w:pPr>
            <w:r>
              <w:rPr>
                <w:rFonts w:hint="eastAsia"/>
              </w:rPr>
              <w:t>方案较为详细，操作性一般，较为贴合主题、构成方案较合理，满足采购需求；得</w:t>
            </w:r>
            <w:r>
              <w:rPr>
                <w:rFonts w:hint="eastAsia"/>
                <w:lang w:val="en-US" w:eastAsia="zh-CN"/>
              </w:rPr>
              <w:t>25</w:t>
            </w:r>
            <w:r>
              <w:rPr>
                <w:rFonts w:hint="eastAsia"/>
              </w:rPr>
              <w:t>分；</w:t>
            </w:r>
          </w:p>
          <w:p>
            <w:pPr>
              <w:spacing w:line="360" w:lineRule="auto"/>
              <w:ind w:firstLine="0" w:firstLineChars="0"/>
              <w:rPr>
                <w:rFonts w:hint="eastAsia"/>
              </w:rPr>
            </w:pPr>
            <w:r>
              <w:rPr>
                <w:rFonts w:hint="eastAsia"/>
              </w:rPr>
              <w:t>方案偏简单，与主题内容有关联、构成方案一般，基本满足采购需求；得</w:t>
            </w:r>
            <w:r>
              <w:rPr>
                <w:rFonts w:hint="eastAsia"/>
                <w:lang w:val="en-US" w:eastAsia="zh-CN"/>
              </w:rPr>
              <w:t>15</w:t>
            </w:r>
            <w:r>
              <w:rPr>
                <w:rFonts w:hint="eastAsia"/>
              </w:rPr>
              <w:t>分；</w:t>
            </w:r>
          </w:p>
          <w:p>
            <w:pPr>
              <w:spacing w:line="360" w:lineRule="auto"/>
              <w:ind w:firstLine="0" w:firstLineChars="0"/>
              <w:rPr>
                <w:rFonts w:hint="eastAsia"/>
              </w:rPr>
            </w:pPr>
            <w:r>
              <w:rPr>
                <w:rFonts w:hint="eastAsia"/>
              </w:rPr>
              <w:t>方案较差，与主题关联较差，构成方案差，不能满足采购需求；得</w:t>
            </w:r>
            <w:r>
              <w:rPr>
                <w:rFonts w:hint="eastAsia"/>
                <w:lang w:val="en-US" w:eastAsia="zh-CN"/>
              </w:rPr>
              <w:t>10</w:t>
            </w:r>
            <w:r>
              <w:rPr>
                <w:rFonts w:hint="eastAsia"/>
              </w:rPr>
              <w:t>分；</w:t>
            </w:r>
          </w:p>
          <w:p>
            <w:pPr>
              <w:spacing w:line="360" w:lineRule="auto"/>
              <w:ind w:firstLine="0" w:firstLineChars="0"/>
              <w:rPr>
                <w:rFonts w:hint="eastAsia"/>
              </w:rPr>
            </w:pPr>
            <w:r>
              <w:rPr>
                <w:rFonts w:hint="eastAsia"/>
              </w:rPr>
              <w:t xml:space="preserve">专家针对同档次响应文件横向比较，依次扣减 </w:t>
            </w:r>
            <w:r>
              <w:rPr>
                <w:rFonts w:hint="eastAsia"/>
                <w:lang w:val="en-US" w:eastAsia="zh-CN"/>
              </w:rPr>
              <w:t>1</w:t>
            </w:r>
            <w:r>
              <w:rPr>
                <w:rFonts w:hint="eastAsia"/>
              </w:rPr>
              <w:t>分，若此条缺项不得分。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644" w:type="pct"/>
            <w:vMerge w:val="continue"/>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p>
        </w:tc>
        <w:tc>
          <w:tcPr>
            <w:tcW w:w="415" w:type="pct"/>
            <w:vMerge w:val="continue"/>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p>
        </w:tc>
        <w:tc>
          <w:tcPr>
            <w:tcW w:w="3940" w:type="pct"/>
            <w:noWrap w:val="0"/>
            <w:tcMar>
              <w:top w:w="20" w:type="dxa"/>
              <w:left w:w="20" w:type="dxa"/>
              <w:bottom w:w="20" w:type="dxa"/>
              <w:right w:w="20" w:type="dxa"/>
            </w:tcMar>
            <w:vAlign w:val="center"/>
          </w:tcPr>
          <w:p>
            <w:pPr>
              <w:spacing w:line="360" w:lineRule="auto"/>
              <w:ind w:firstLine="0" w:firstLineChars="0"/>
              <w:rPr>
                <w:rFonts w:hint="eastAsia" w:eastAsia="宋体"/>
                <w:lang w:eastAsia="zh-CN"/>
              </w:rPr>
            </w:pPr>
            <w:r>
              <w:rPr>
                <w:rFonts w:hint="eastAsia"/>
                <w:lang w:val="en-US" w:eastAsia="zh-CN"/>
              </w:rPr>
              <w:t>2、</w:t>
            </w:r>
            <w:r>
              <w:rPr>
                <w:rFonts w:hint="eastAsia"/>
              </w:rPr>
              <w:t>根据投标人对本项目重点难点分析、应对措施。评委根据响应文件情况打分，详细、科学、合理</w:t>
            </w:r>
            <w:r>
              <w:rPr>
                <w:rFonts w:hint="eastAsia"/>
                <w:lang w:eastAsia="zh-CN"/>
              </w:rPr>
              <w:t>得</w:t>
            </w:r>
            <w:r>
              <w:rPr>
                <w:rFonts w:hint="eastAsia"/>
                <w:lang w:val="en-US" w:eastAsia="zh-CN"/>
              </w:rPr>
              <w:t>7-10</w:t>
            </w:r>
            <w:r>
              <w:rPr>
                <w:rFonts w:hint="eastAsia"/>
              </w:rPr>
              <w:t>分，内容比较充实</w:t>
            </w:r>
            <w:r>
              <w:rPr>
                <w:rFonts w:hint="eastAsia"/>
                <w:lang w:eastAsia="zh-CN"/>
              </w:rPr>
              <w:t>得</w:t>
            </w:r>
            <w:r>
              <w:rPr>
                <w:rFonts w:hint="eastAsia"/>
                <w:lang w:val="en-US" w:eastAsia="zh-CN"/>
              </w:rPr>
              <w:t>4-7</w:t>
            </w:r>
            <w:r>
              <w:rPr>
                <w:rFonts w:hint="eastAsia"/>
              </w:rPr>
              <w:t xml:space="preserve"> 分，能满足竞争性磋商文件要求</w:t>
            </w:r>
            <w:r>
              <w:rPr>
                <w:rFonts w:hint="eastAsia"/>
                <w:lang w:eastAsia="zh-CN"/>
              </w:rPr>
              <w:t>得</w:t>
            </w:r>
            <w:r>
              <w:rPr>
                <w:rFonts w:hint="eastAsia"/>
                <w:lang w:val="en-US" w:eastAsia="zh-CN"/>
              </w:rPr>
              <w:t>0-4</w:t>
            </w:r>
            <w:r>
              <w:rPr>
                <w:rFonts w:hint="eastAsia"/>
              </w:rPr>
              <w:t>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644" w:type="pct"/>
            <w:vMerge w:val="continue"/>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p>
        </w:tc>
        <w:tc>
          <w:tcPr>
            <w:tcW w:w="415" w:type="pct"/>
            <w:vMerge w:val="continue"/>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p>
        </w:tc>
        <w:tc>
          <w:tcPr>
            <w:tcW w:w="3940"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ascii="宋体" w:hAnsi="宋体" w:cs="仿宋"/>
                <w:sz w:val="24"/>
                <w:szCs w:val="24"/>
                <w:lang w:val="en-US" w:eastAsia="zh-CN"/>
              </w:rPr>
              <w:t>3</w:t>
            </w:r>
            <w:r>
              <w:rPr>
                <w:rFonts w:hint="eastAsia" w:ascii="宋体" w:hAnsi="宋体" w:cs="仿宋"/>
                <w:sz w:val="24"/>
                <w:szCs w:val="24"/>
              </w:rPr>
              <w:t>、根据供应商提供的实施流程计划表，脚本方案，拍摄技术进行打分</w:t>
            </w:r>
          </w:p>
          <w:p>
            <w:pPr>
              <w:spacing w:line="360" w:lineRule="auto"/>
              <w:ind w:firstLine="0" w:firstLineChars="0"/>
              <w:rPr>
                <w:rFonts w:ascii="宋体" w:hAnsi="宋体" w:cs="仿宋"/>
                <w:sz w:val="24"/>
                <w:szCs w:val="24"/>
              </w:rPr>
            </w:pPr>
            <w:r>
              <w:rPr>
                <w:rFonts w:hint="eastAsia" w:ascii="宋体" w:hAnsi="宋体" w:cs="仿宋"/>
                <w:sz w:val="24"/>
                <w:szCs w:val="24"/>
              </w:rPr>
              <w:t>方案完整详细，宣传合理可行、具有创新意识、吸引力强，完全满足采购需求；得</w:t>
            </w:r>
            <w:r>
              <w:rPr>
                <w:rFonts w:hint="eastAsia" w:ascii="宋体" w:hAnsi="宋体" w:cs="仿宋"/>
                <w:sz w:val="24"/>
                <w:szCs w:val="24"/>
                <w:lang w:val="en-US" w:eastAsia="zh-CN"/>
              </w:rPr>
              <w:t>17</w:t>
            </w:r>
            <w:r>
              <w:rPr>
                <w:rFonts w:hint="eastAsia" w:ascii="宋体" w:hAnsi="宋体" w:cs="仿宋"/>
                <w:sz w:val="24"/>
                <w:szCs w:val="24"/>
              </w:rPr>
              <w:t>分；</w:t>
            </w:r>
          </w:p>
          <w:p>
            <w:pPr>
              <w:spacing w:line="360" w:lineRule="auto"/>
              <w:ind w:firstLine="0" w:firstLineChars="0"/>
              <w:rPr>
                <w:rFonts w:hint="eastAsia" w:ascii="宋体" w:hAnsi="宋体" w:cs="仿宋"/>
                <w:sz w:val="24"/>
                <w:szCs w:val="24"/>
              </w:rPr>
            </w:pPr>
            <w:r>
              <w:rPr>
                <w:rFonts w:hint="eastAsia" w:ascii="宋体" w:hAnsi="宋体" w:cs="仿宋"/>
                <w:sz w:val="24"/>
                <w:szCs w:val="24"/>
              </w:rPr>
              <w:t>方案较为详细，宣传较为合理、吸引力一般，满足采购需求；得</w:t>
            </w:r>
            <w:r>
              <w:rPr>
                <w:rFonts w:hint="eastAsia" w:ascii="宋体" w:hAnsi="宋体" w:cs="仿宋"/>
                <w:sz w:val="24"/>
                <w:szCs w:val="24"/>
                <w:lang w:val="en-US" w:eastAsia="zh-CN"/>
              </w:rPr>
              <w:t>13</w:t>
            </w:r>
            <w:r>
              <w:rPr>
                <w:rFonts w:hint="eastAsia" w:ascii="宋体" w:hAnsi="宋体" w:cs="仿宋"/>
                <w:sz w:val="24"/>
                <w:szCs w:val="24"/>
              </w:rPr>
              <w:t>分；</w:t>
            </w:r>
          </w:p>
          <w:p>
            <w:pPr>
              <w:spacing w:line="360" w:lineRule="auto"/>
              <w:ind w:firstLine="0" w:firstLineChars="0"/>
              <w:rPr>
                <w:rFonts w:hint="eastAsia" w:ascii="宋体" w:hAnsi="宋体" w:cs="仿宋"/>
                <w:sz w:val="24"/>
                <w:szCs w:val="24"/>
              </w:rPr>
            </w:pPr>
            <w:r>
              <w:rPr>
                <w:rFonts w:hint="eastAsia" w:ascii="宋体" w:hAnsi="宋体" w:cs="仿宋"/>
                <w:sz w:val="24"/>
                <w:szCs w:val="24"/>
              </w:rPr>
              <w:t>方案偏简单，宣传较差、吸引力较差，基本满足采购需求；得</w:t>
            </w:r>
            <w:r>
              <w:rPr>
                <w:rFonts w:hint="eastAsia" w:ascii="宋体" w:hAnsi="宋体" w:cs="仿宋"/>
                <w:sz w:val="24"/>
                <w:szCs w:val="24"/>
                <w:lang w:val="en-US" w:eastAsia="zh-CN"/>
              </w:rPr>
              <w:t>8</w:t>
            </w:r>
            <w:r>
              <w:rPr>
                <w:rFonts w:hint="eastAsia" w:ascii="宋体" w:hAnsi="宋体" w:cs="仿宋"/>
                <w:sz w:val="24"/>
                <w:szCs w:val="24"/>
              </w:rPr>
              <w:t>分；</w:t>
            </w:r>
          </w:p>
          <w:p>
            <w:pPr>
              <w:spacing w:line="360" w:lineRule="auto"/>
              <w:ind w:firstLine="0" w:firstLineChars="0"/>
              <w:rPr>
                <w:rFonts w:hint="eastAsia" w:ascii="宋体" w:hAnsi="宋体" w:cs="仿宋"/>
                <w:sz w:val="24"/>
                <w:szCs w:val="24"/>
              </w:rPr>
            </w:pPr>
            <w:r>
              <w:rPr>
                <w:rFonts w:hint="eastAsia"/>
              </w:rPr>
              <w:t xml:space="preserve">专家针对同档次响应文件横向比较，依次扣减 </w:t>
            </w:r>
            <w:r>
              <w:rPr>
                <w:rFonts w:hint="eastAsia"/>
                <w:lang w:val="en-US" w:eastAsia="zh-CN"/>
              </w:rPr>
              <w:t>1</w:t>
            </w:r>
            <w:r>
              <w:rPr>
                <w:rFonts w:hint="eastAsia"/>
              </w:rPr>
              <w:t>分，若此条缺项不得分。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44" w:type="pct"/>
            <w:vMerge w:val="continue"/>
            <w:noWrap w:val="0"/>
            <w:tcMar>
              <w:top w:w="20" w:type="dxa"/>
              <w:left w:w="20" w:type="dxa"/>
              <w:bottom w:w="20" w:type="dxa"/>
              <w:right w:w="20" w:type="dxa"/>
            </w:tcMar>
            <w:vAlign w:val="center"/>
          </w:tcPr>
          <w:p>
            <w:pPr>
              <w:spacing w:line="360" w:lineRule="auto"/>
              <w:ind w:firstLine="0" w:firstLineChars="0"/>
              <w:rPr>
                <w:rFonts w:ascii="宋体" w:hAnsi="宋体"/>
              </w:rPr>
            </w:pPr>
          </w:p>
        </w:tc>
        <w:tc>
          <w:tcPr>
            <w:tcW w:w="415" w:type="pct"/>
            <w:vMerge w:val="continue"/>
            <w:noWrap w:val="0"/>
            <w:tcMar>
              <w:top w:w="20" w:type="dxa"/>
              <w:left w:w="20" w:type="dxa"/>
              <w:bottom w:w="20" w:type="dxa"/>
              <w:right w:w="20" w:type="dxa"/>
            </w:tcMar>
            <w:vAlign w:val="center"/>
          </w:tcPr>
          <w:p>
            <w:pPr>
              <w:spacing w:line="360" w:lineRule="auto"/>
              <w:ind w:firstLine="0" w:firstLineChars="0"/>
              <w:rPr>
                <w:rFonts w:ascii="宋体" w:hAnsi="宋体"/>
              </w:rPr>
            </w:pPr>
          </w:p>
        </w:tc>
        <w:tc>
          <w:tcPr>
            <w:tcW w:w="3940" w:type="pct"/>
            <w:noWrap w:val="0"/>
            <w:tcMar>
              <w:top w:w="20" w:type="dxa"/>
              <w:left w:w="20" w:type="dxa"/>
              <w:bottom w:w="20" w:type="dxa"/>
              <w:right w:w="20" w:type="dxa"/>
            </w:tcMar>
            <w:vAlign w:val="center"/>
          </w:tcPr>
          <w:p>
            <w:pPr>
              <w:spacing w:line="360" w:lineRule="auto"/>
              <w:ind w:firstLine="0" w:firstLineChars="0"/>
              <w:rPr>
                <w:rFonts w:ascii="宋体" w:hAnsi="宋体" w:cs="仿宋"/>
                <w:sz w:val="24"/>
                <w:szCs w:val="24"/>
              </w:rPr>
            </w:pPr>
            <w:r>
              <w:rPr>
                <w:rFonts w:hint="eastAsia" w:ascii="宋体" w:hAnsi="宋体" w:cs="仿宋"/>
                <w:sz w:val="24"/>
                <w:szCs w:val="24"/>
                <w:lang w:val="en-US" w:eastAsia="zh-CN"/>
              </w:rPr>
              <w:t>4</w:t>
            </w:r>
            <w:r>
              <w:rPr>
                <w:rFonts w:hint="eastAsia" w:ascii="宋体" w:hAnsi="宋体" w:cs="仿宋"/>
                <w:sz w:val="24"/>
                <w:szCs w:val="24"/>
              </w:rPr>
              <w:t>、根据供应商提供的设备保障情况（包括</w:t>
            </w:r>
            <w:r>
              <w:rPr>
                <w:rFonts w:hint="eastAsia" w:ascii="宋体" w:hAnsi="宋体" w:cs="仿宋"/>
                <w:b/>
                <w:bCs/>
                <w:color w:val="auto"/>
                <w:sz w:val="24"/>
                <w:szCs w:val="24"/>
                <w:u w:val="single"/>
              </w:rPr>
              <w:t>灯光</w:t>
            </w:r>
            <w:r>
              <w:rPr>
                <w:rFonts w:hint="eastAsia" w:ascii="宋体" w:hAnsi="宋体" w:cs="仿宋"/>
                <w:sz w:val="24"/>
                <w:szCs w:val="24"/>
              </w:rPr>
              <w:t>、</w:t>
            </w:r>
            <w:r>
              <w:rPr>
                <w:rFonts w:hint="eastAsia" w:ascii="宋体" w:hAnsi="宋体" w:cs="仿宋"/>
                <w:b/>
                <w:bCs/>
                <w:sz w:val="24"/>
                <w:szCs w:val="24"/>
                <w:u w:val="single"/>
              </w:rPr>
              <w:t>拍摄设备</w:t>
            </w:r>
            <w:r>
              <w:rPr>
                <w:rFonts w:hint="eastAsia" w:ascii="宋体" w:hAnsi="宋体" w:cs="仿宋"/>
                <w:sz w:val="24"/>
                <w:szCs w:val="24"/>
              </w:rPr>
              <w:t>，</w:t>
            </w:r>
            <w:r>
              <w:rPr>
                <w:rFonts w:hint="eastAsia" w:ascii="宋体" w:hAnsi="宋体" w:cs="仿宋"/>
                <w:b/>
                <w:bCs/>
                <w:sz w:val="24"/>
                <w:szCs w:val="24"/>
                <w:u w:val="single"/>
              </w:rPr>
              <w:t>航拍设备</w:t>
            </w:r>
            <w:r>
              <w:rPr>
                <w:rFonts w:hint="eastAsia" w:ascii="宋体" w:hAnsi="宋体" w:cs="仿宋"/>
                <w:sz w:val="24"/>
                <w:szCs w:val="24"/>
              </w:rPr>
              <w:t>，</w:t>
            </w:r>
            <w:r>
              <w:rPr>
                <w:rFonts w:hint="eastAsia" w:ascii="宋体" w:hAnsi="宋体" w:cs="仿宋"/>
                <w:b/>
                <w:bCs/>
                <w:sz w:val="24"/>
                <w:szCs w:val="24"/>
                <w:u w:val="single"/>
              </w:rPr>
              <w:t>剪辑设备</w:t>
            </w:r>
            <w:r>
              <w:rPr>
                <w:rFonts w:hint="eastAsia" w:ascii="宋体" w:hAnsi="宋体" w:cs="仿宋"/>
                <w:sz w:val="24"/>
                <w:szCs w:val="24"/>
              </w:rPr>
              <w:t>，</w:t>
            </w:r>
            <w:r>
              <w:rPr>
                <w:rFonts w:hint="eastAsia" w:ascii="宋体" w:hAnsi="宋体" w:cs="仿宋"/>
                <w:b/>
                <w:bCs/>
                <w:sz w:val="24"/>
                <w:szCs w:val="24"/>
                <w:u w:val="single"/>
              </w:rPr>
              <w:t>软件使用</w:t>
            </w:r>
            <w:r>
              <w:rPr>
                <w:rFonts w:hint="eastAsia" w:ascii="宋体" w:hAnsi="宋体" w:cs="仿宋"/>
                <w:sz w:val="24"/>
                <w:szCs w:val="24"/>
              </w:rPr>
              <w:t>等）进行打分。</w:t>
            </w:r>
          </w:p>
          <w:p>
            <w:pPr>
              <w:spacing w:line="360" w:lineRule="auto"/>
              <w:ind w:firstLine="0" w:firstLineChars="0"/>
              <w:rPr>
                <w:rFonts w:ascii="宋体" w:hAnsi="宋体" w:cs="仿宋"/>
                <w:sz w:val="24"/>
                <w:szCs w:val="24"/>
                <w:highlight w:val="yellow"/>
              </w:rPr>
            </w:pPr>
            <w:r>
              <w:rPr>
                <w:rFonts w:hint="eastAsia" w:ascii="宋体" w:hAnsi="宋体" w:cs="仿宋"/>
                <w:sz w:val="24"/>
                <w:szCs w:val="24"/>
              </w:rPr>
              <w:t>技术先进，拍摄设备技术先进、数量充足，剪辑设备技术先进，软件使用能够达到理想的效果得</w:t>
            </w:r>
            <w:r>
              <w:rPr>
                <w:rFonts w:ascii="宋体" w:hAnsi="宋体" w:cs="仿宋"/>
                <w:sz w:val="24"/>
                <w:szCs w:val="24"/>
              </w:rPr>
              <w:t>10分；每缺一项扣</w:t>
            </w:r>
            <w:r>
              <w:rPr>
                <w:rFonts w:hint="eastAsia" w:ascii="宋体" w:hAnsi="宋体" w:cs="仿宋"/>
                <w:sz w:val="24"/>
                <w:szCs w:val="24"/>
                <w:lang w:val="en-US" w:eastAsia="zh-CN"/>
              </w:rPr>
              <w:t>2</w:t>
            </w:r>
            <w:r>
              <w:rPr>
                <w:rFonts w:ascii="宋体" w:hAnsi="宋体" w:cs="仿宋"/>
                <w:sz w:val="24"/>
                <w:szCs w:val="24"/>
              </w:rPr>
              <w:t>分，每项有偏差扣</w:t>
            </w:r>
            <w:r>
              <w:rPr>
                <w:rFonts w:hint="eastAsia" w:ascii="宋体" w:hAnsi="宋体" w:cs="仿宋"/>
                <w:sz w:val="24"/>
                <w:szCs w:val="24"/>
                <w:lang w:val="en-US" w:eastAsia="zh-CN"/>
              </w:rPr>
              <w:t>1</w:t>
            </w:r>
            <w:r>
              <w:rPr>
                <w:rFonts w:ascii="宋体" w:hAnsi="宋体" w:cs="仿宋"/>
                <w:sz w:val="24"/>
                <w:szCs w:val="24"/>
              </w:rPr>
              <w:t>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6" w:hRule="atLeast"/>
          <w:jc w:val="center"/>
        </w:trPr>
        <w:tc>
          <w:tcPr>
            <w:tcW w:w="644" w:type="pct"/>
            <w:vMerge w:val="continue"/>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highlight w:val="yellow"/>
              </w:rPr>
            </w:pPr>
          </w:p>
        </w:tc>
        <w:tc>
          <w:tcPr>
            <w:tcW w:w="415" w:type="pct"/>
            <w:vMerge w:val="continue"/>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highlight w:val="yellow"/>
              </w:rPr>
            </w:pPr>
          </w:p>
        </w:tc>
        <w:tc>
          <w:tcPr>
            <w:tcW w:w="3940" w:type="pct"/>
            <w:noWrap w:val="0"/>
            <w:tcMar>
              <w:top w:w="20" w:type="dxa"/>
              <w:left w:w="20" w:type="dxa"/>
              <w:bottom w:w="20" w:type="dxa"/>
              <w:right w:w="20" w:type="dxa"/>
            </w:tcMar>
            <w:vAlign w:val="center"/>
          </w:tcPr>
          <w:p>
            <w:pPr>
              <w:spacing w:line="360" w:lineRule="auto"/>
              <w:ind w:firstLine="0" w:firstLineChars="0"/>
              <w:rPr>
                <w:rFonts w:ascii="宋体" w:hAnsi="宋体" w:cs="仿宋"/>
                <w:sz w:val="24"/>
                <w:szCs w:val="24"/>
              </w:rPr>
            </w:pPr>
            <w:r>
              <w:rPr>
                <w:rFonts w:hint="eastAsia" w:ascii="宋体" w:hAnsi="宋体" w:cs="仿宋"/>
                <w:sz w:val="24"/>
                <w:szCs w:val="24"/>
                <w:lang w:val="en-US" w:eastAsia="zh-CN"/>
              </w:rPr>
              <w:t>5</w:t>
            </w:r>
            <w:r>
              <w:rPr>
                <w:rFonts w:ascii="宋体" w:hAnsi="宋体" w:cs="仿宋"/>
                <w:sz w:val="24"/>
                <w:szCs w:val="24"/>
              </w:rPr>
              <w:t>、根据供应商提供的</w:t>
            </w:r>
            <w:r>
              <w:rPr>
                <w:rFonts w:ascii="宋体" w:hAnsi="宋体" w:cs="仿宋"/>
                <w:b/>
                <w:bCs/>
                <w:sz w:val="24"/>
                <w:szCs w:val="24"/>
                <w:u w:val="single"/>
              </w:rPr>
              <w:t>划设计进度计划</w:t>
            </w:r>
            <w:r>
              <w:rPr>
                <w:rFonts w:ascii="宋体" w:hAnsi="宋体" w:cs="仿宋"/>
                <w:sz w:val="24"/>
                <w:szCs w:val="24"/>
              </w:rPr>
              <w:t>、</w:t>
            </w:r>
            <w:r>
              <w:rPr>
                <w:rFonts w:ascii="宋体" w:hAnsi="宋体" w:cs="仿宋"/>
                <w:b/>
                <w:bCs/>
                <w:sz w:val="24"/>
                <w:szCs w:val="24"/>
                <w:u w:val="single"/>
              </w:rPr>
              <w:t>进度保证措施及方案</w:t>
            </w:r>
            <w:r>
              <w:rPr>
                <w:rFonts w:ascii="宋体" w:hAnsi="宋体" w:cs="仿宋"/>
                <w:sz w:val="24"/>
                <w:szCs w:val="24"/>
              </w:rPr>
              <w:t>、</w:t>
            </w:r>
            <w:r>
              <w:rPr>
                <w:rFonts w:ascii="宋体" w:hAnsi="宋体" w:cs="仿宋"/>
                <w:b/>
                <w:bCs/>
                <w:sz w:val="24"/>
                <w:szCs w:val="24"/>
                <w:u w:val="single"/>
              </w:rPr>
              <w:t>工作时间安排情况</w:t>
            </w:r>
            <w:r>
              <w:rPr>
                <w:rFonts w:ascii="宋体" w:hAnsi="宋体" w:cs="仿宋"/>
                <w:sz w:val="24"/>
                <w:szCs w:val="24"/>
              </w:rPr>
              <w:t>进行打分。</w:t>
            </w:r>
          </w:p>
          <w:p>
            <w:pPr>
              <w:spacing w:line="360" w:lineRule="auto"/>
              <w:ind w:firstLine="0" w:firstLineChars="0"/>
              <w:rPr>
                <w:rFonts w:hint="eastAsia" w:ascii="宋体" w:hAnsi="宋体" w:cs="仿宋"/>
                <w:b/>
                <w:bCs/>
                <w:sz w:val="24"/>
                <w:szCs w:val="24"/>
                <w:highlight w:val="yellow"/>
              </w:rPr>
            </w:pPr>
            <w:r>
              <w:rPr>
                <w:rFonts w:hint="eastAsia" w:ascii="宋体" w:hAnsi="宋体" w:cs="仿宋"/>
                <w:sz w:val="24"/>
                <w:szCs w:val="24"/>
              </w:rPr>
              <w:t>计划科学完善、可实施性强、各阶段交付成果明确的得</w:t>
            </w:r>
            <w:r>
              <w:rPr>
                <w:rFonts w:ascii="宋体" w:hAnsi="宋体" w:cs="仿宋"/>
                <w:sz w:val="24"/>
                <w:szCs w:val="24"/>
              </w:rPr>
              <w:t xml:space="preserve">10分，每缺一项扣4分，每项有偏差扣 </w:t>
            </w:r>
            <w:r>
              <w:rPr>
                <w:rFonts w:hint="eastAsia" w:ascii="宋体" w:hAnsi="宋体" w:cs="仿宋"/>
                <w:sz w:val="24"/>
                <w:szCs w:val="24"/>
                <w:lang w:val="en-US" w:eastAsia="zh-CN"/>
              </w:rPr>
              <w:t>1</w:t>
            </w:r>
            <w:r>
              <w:rPr>
                <w:rFonts w:ascii="宋体" w:hAnsi="宋体" w:cs="仿宋"/>
                <w:sz w:val="24"/>
                <w:szCs w:val="24"/>
              </w:rPr>
              <w:t>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44"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ascii="宋体" w:hAnsi="宋体" w:cs="仿宋"/>
                <w:sz w:val="24"/>
                <w:szCs w:val="24"/>
              </w:rPr>
              <w:t>团队配置</w:t>
            </w:r>
          </w:p>
        </w:tc>
        <w:tc>
          <w:tcPr>
            <w:tcW w:w="415" w:type="pct"/>
            <w:noWrap w:val="0"/>
            <w:tcMar>
              <w:top w:w="20" w:type="dxa"/>
              <w:left w:w="20" w:type="dxa"/>
              <w:bottom w:w="20" w:type="dxa"/>
              <w:right w:w="20" w:type="dxa"/>
            </w:tcMar>
            <w:vAlign w:val="center"/>
          </w:tcPr>
          <w:p>
            <w:pPr>
              <w:spacing w:line="360" w:lineRule="auto"/>
              <w:ind w:firstLine="0" w:firstLineChars="0"/>
              <w:jc w:val="center"/>
              <w:rPr>
                <w:rFonts w:hint="eastAsia" w:ascii="宋体" w:hAnsi="宋体" w:cs="仿宋"/>
                <w:sz w:val="24"/>
                <w:szCs w:val="24"/>
              </w:rPr>
            </w:pPr>
            <w:r>
              <w:rPr>
                <w:rFonts w:hint="eastAsia" w:ascii="宋体" w:hAnsi="宋体" w:cs="仿宋"/>
                <w:sz w:val="24"/>
                <w:szCs w:val="24"/>
              </w:rPr>
              <w:t>7分</w:t>
            </w:r>
          </w:p>
        </w:tc>
        <w:tc>
          <w:tcPr>
            <w:tcW w:w="3940" w:type="pct"/>
            <w:noWrap w:val="0"/>
            <w:tcMar>
              <w:top w:w="20" w:type="dxa"/>
              <w:left w:w="20" w:type="dxa"/>
              <w:bottom w:w="20" w:type="dxa"/>
              <w:right w:w="20" w:type="dxa"/>
            </w:tcMar>
            <w:vAlign w:val="center"/>
          </w:tcPr>
          <w:p>
            <w:pPr>
              <w:spacing w:line="360" w:lineRule="auto"/>
              <w:ind w:firstLine="0" w:firstLineChars="0"/>
              <w:rPr>
                <w:rFonts w:ascii="宋体" w:hAnsi="宋体" w:cs="仿宋"/>
                <w:sz w:val="24"/>
                <w:szCs w:val="24"/>
              </w:rPr>
            </w:pPr>
            <w:r>
              <w:rPr>
                <w:rFonts w:hint="eastAsia" w:ascii="宋体" w:hAnsi="宋体" w:cs="仿宋"/>
                <w:sz w:val="24"/>
                <w:szCs w:val="24"/>
              </w:rPr>
              <w:t>根据供应商对本项目所配服务团队岗位职责分配,工作经历、专业技能情况,相关从业经历情况进行打分。</w:t>
            </w:r>
          </w:p>
          <w:p>
            <w:pPr>
              <w:spacing w:line="360" w:lineRule="auto"/>
              <w:ind w:firstLine="0" w:firstLineChars="0"/>
              <w:rPr>
                <w:rFonts w:ascii="宋体" w:hAnsi="宋体" w:cs="仿宋"/>
                <w:sz w:val="24"/>
                <w:szCs w:val="24"/>
              </w:rPr>
            </w:pPr>
            <w:r>
              <w:rPr>
                <w:rFonts w:hint="eastAsia" w:ascii="宋体" w:hAnsi="宋体" w:cs="仿宋"/>
                <w:sz w:val="24"/>
                <w:szCs w:val="24"/>
              </w:rPr>
              <w:t>岗位职责分配明确，创意制作团队架构完整、专业技能高的得</w:t>
            </w:r>
            <w:r>
              <w:rPr>
                <w:rFonts w:ascii="宋体" w:hAnsi="宋体" w:cs="仿宋"/>
                <w:sz w:val="24"/>
                <w:szCs w:val="24"/>
              </w:rPr>
              <w:t>7</w:t>
            </w:r>
            <w:r>
              <w:rPr>
                <w:rFonts w:hint="eastAsia" w:ascii="宋体" w:hAnsi="宋体" w:cs="仿宋"/>
                <w:sz w:val="24"/>
                <w:szCs w:val="24"/>
              </w:rPr>
              <w:t>分，每缺一项扣3分，每项有偏差扣</w:t>
            </w:r>
            <w:r>
              <w:rPr>
                <w:rFonts w:hint="eastAsia" w:ascii="宋体" w:hAnsi="宋体" w:cs="仿宋"/>
                <w:sz w:val="24"/>
                <w:szCs w:val="24"/>
                <w:lang w:val="en-US" w:eastAsia="zh-CN"/>
              </w:rPr>
              <w:t>1</w:t>
            </w:r>
            <w:bookmarkStart w:id="124" w:name="_GoBack"/>
            <w:bookmarkEnd w:id="124"/>
            <w:r>
              <w:rPr>
                <w:rFonts w:hint="eastAsia" w:ascii="宋体" w:hAnsi="宋体" w:cs="仿宋"/>
                <w:sz w:val="24"/>
                <w:szCs w:val="24"/>
              </w:rPr>
              <w:t>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44"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ascii="宋体" w:hAnsi="宋体" w:cs="仿宋"/>
                <w:sz w:val="24"/>
                <w:szCs w:val="24"/>
              </w:rPr>
              <w:t>业绩</w:t>
            </w:r>
          </w:p>
        </w:tc>
        <w:tc>
          <w:tcPr>
            <w:tcW w:w="415" w:type="pct"/>
            <w:noWrap w:val="0"/>
            <w:tcMar>
              <w:top w:w="20" w:type="dxa"/>
              <w:left w:w="20" w:type="dxa"/>
              <w:bottom w:w="20" w:type="dxa"/>
              <w:right w:w="20" w:type="dxa"/>
            </w:tcMar>
            <w:vAlign w:val="center"/>
          </w:tcPr>
          <w:p>
            <w:pPr>
              <w:spacing w:line="360" w:lineRule="auto"/>
              <w:ind w:firstLine="0" w:firstLineChars="0"/>
              <w:jc w:val="center"/>
              <w:rPr>
                <w:rFonts w:hint="eastAsia" w:ascii="宋体" w:hAnsi="宋体" w:cs="仿宋"/>
                <w:sz w:val="24"/>
                <w:szCs w:val="24"/>
              </w:rPr>
            </w:pPr>
            <w:r>
              <w:rPr>
                <w:rFonts w:ascii="宋体" w:hAnsi="宋体" w:cs="仿宋"/>
                <w:sz w:val="24"/>
                <w:szCs w:val="24"/>
              </w:rPr>
              <w:t>6</w:t>
            </w:r>
            <w:r>
              <w:rPr>
                <w:rFonts w:hint="eastAsia" w:ascii="宋体" w:hAnsi="宋体" w:cs="仿宋"/>
                <w:sz w:val="24"/>
                <w:szCs w:val="24"/>
              </w:rPr>
              <w:t>分</w:t>
            </w:r>
          </w:p>
        </w:tc>
        <w:tc>
          <w:tcPr>
            <w:tcW w:w="3940" w:type="pct"/>
            <w:noWrap w:val="0"/>
            <w:tcMar>
              <w:top w:w="20" w:type="dxa"/>
              <w:left w:w="20" w:type="dxa"/>
              <w:bottom w:w="20" w:type="dxa"/>
              <w:right w:w="20" w:type="dxa"/>
            </w:tcMar>
            <w:vAlign w:val="center"/>
          </w:tcPr>
          <w:p>
            <w:pPr>
              <w:spacing w:line="360" w:lineRule="auto"/>
              <w:ind w:firstLine="0" w:firstLineChars="0"/>
              <w:rPr>
                <w:rFonts w:hint="eastAsia" w:ascii="宋体" w:hAnsi="宋体" w:eastAsia="宋体" w:cs="仿宋"/>
                <w:sz w:val="24"/>
                <w:szCs w:val="24"/>
                <w:lang w:eastAsia="zh-CN"/>
              </w:rPr>
            </w:pPr>
            <w:r>
              <w:rPr>
                <w:rFonts w:hint="eastAsia" w:ascii="宋体" w:hAnsi="宋体" w:cs="仿宋"/>
                <w:sz w:val="24"/>
                <w:szCs w:val="24"/>
              </w:rPr>
              <w:t>供应商在2</w:t>
            </w:r>
            <w:r>
              <w:rPr>
                <w:rFonts w:ascii="宋体" w:hAnsi="宋体" w:cs="仿宋"/>
                <w:sz w:val="24"/>
                <w:szCs w:val="24"/>
              </w:rPr>
              <w:t>017</w:t>
            </w:r>
            <w:r>
              <w:rPr>
                <w:rFonts w:hint="eastAsia" w:ascii="宋体" w:hAnsi="宋体" w:cs="仿宋"/>
                <w:sz w:val="24"/>
                <w:szCs w:val="24"/>
              </w:rPr>
              <w:t>年1月1日至今，每做过一个类似的业绩的，得1分，最多得</w:t>
            </w:r>
            <w:r>
              <w:rPr>
                <w:rFonts w:hint="eastAsia" w:ascii="宋体" w:hAnsi="宋体" w:cs="仿宋"/>
                <w:sz w:val="24"/>
                <w:szCs w:val="24"/>
                <w:lang w:val="en-US" w:eastAsia="zh-CN"/>
              </w:rPr>
              <w:t>6</w:t>
            </w:r>
            <w:r>
              <w:rPr>
                <w:rFonts w:hint="eastAsia" w:ascii="宋体" w:hAnsi="宋体" w:cs="仿宋"/>
                <w:sz w:val="24"/>
                <w:szCs w:val="24"/>
              </w:rPr>
              <w:t>分。</w:t>
            </w:r>
            <w:r>
              <w:rPr>
                <w:rFonts w:hint="eastAsia" w:ascii="宋体" w:hAnsi="宋体" w:cs="仿宋"/>
                <w:sz w:val="24"/>
                <w:szCs w:val="24"/>
                <w:lang w:eastAsia="zh-CN"/>
              </w:rPr>
              <w:t>（时间以签到合同时间为准）需提供完整的合同复印件加盖公章。</w:t>
            </w:r>
          </w:p>
        </w:tc>
      </w:tr>
    </w:tbl>
    <w:p>
      <w:pPr>
        <w:pStyle w:val="21"/>
        <w:ind w:left="0" w:leftChars="0" w:firstLine="0" w:firstLineChars="0"/>
        <w:rPr>
          <w:rFonts w:hint="eastAsia" w:asciiTheme="majorEastAsia" w:hAnsiTheme="majorEastAsia" w:eastAsiaTheme="majorEastAsia" w:cstheme="majorEastAsia"/>
          <w:b/>
          <w:bCs/>
          <w:color w:val="auto"/>
          <w:sz w:val="24"/>
          <w:szCs w:val="24"/>
        </w:rPr>
      </w:pPr>
    </w:p>
    <w:p>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封面格式</w:t>
      </w:r>
    </w:p>
    <w:tbl>
      <w:tblPr>
        <w:tblStyle w:val="22"/>
        <w:tblpPr w:leftFromText="180" w:rightFromText="180" w:vertAnchor="text" w:horzAnchor="margin" w:tblpXSpec="center" w:tblpY="470"/>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2"/>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4862" w:type="dxa"/>
            <w:tcBorders>
              <w:bottom w:val="single" w:color="auto" w:sz="4" w:space="0"/>
            </w:tcBorders>
            <w:vAlign w:val="top"/>
          </w:tcPr>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报价一览表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项目编号：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c>
          <w:tcPr>
            <w:tcW w:w="4621" w:type="dxa"/>
            <w:tcBorders>
              <w:bottom w:val="single" w:color="auto" w:sz="4" w:space="0"/>
            </w:tcBorders>
            <w:vAlign w:val="top"/>
          </w:tcPr>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资质证明文件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项目编号：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r>
    </w:tbl>
    <w:p>
      <w:pPr>
        <w:spacing w:line="480" w:lineRule="exact"/>
        <w:jc w:val="left"/>
        <w:rPr>
          <w:rFonts w:hint="eastAsia" w:asciiTheme="minorEastAsia" w:hAnsiTheme="minorEastAsia" w:eastAsiaTheme="minorEastAsia" w:cstheme="minorEastAsia"/>
          <w:color w:val="auto"/>
          <w:sz w:val="24"/>
          <w:szCs w:val="24"/>
        </w:rPr>
      </w:pPr>
    </w:p>
    <w:tbl>
      <w:tblPr>
        <w:tblStyle w:val="2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5"/>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jc w:val="center"/>
        </w:trPr>
        <w:tc>
          <w:tcPr>
            <w:tcW w:w="4855" w:type="dxa"/>
            <w:vAlign w:val="top"/>
          </w:tcPr>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（正本）</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tc>
        <w:tc>
          <w:tcPr>
            <w:tcW w:w="4638" w:type="dxa"/>
            <w:vAlign w:val="top"/>
          </w:tcPr>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（副本）</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r>
    </w:tbl>
    <w:p>
      <w:pPr>
        <w:spacing w:line="480" w:lineRule="exact"/>
        <w:ind w:firstLine="480" w:firstLineChars="200"/>
        <w:jc w:val="left"/>
        <w:rPr>
          <w:rFonts w:hint="eastAsia" w:asciiTheme="minorEastAsia" w:hAnsiTheme="minorEastAsia" w:eastAsiaTheme="minorEastAsia" w:cstheme="minorEastAsia"/>
          <w:color w:val="auto"/>
          <w:sz w:val="24"/>
          <w:szCs w:val="24"/>
        </w:rPr>
      </w:pP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封口格式：</w:t>
      </w:r>
    </w:p>
    <w:tbl>
      <w:tblPr>
        <w:tblStyle w:val="22"/>
        <w:tblpPr w:leftFromText="180" w:rightFromText="180" w:vertAnchor="text" w:horzAnchor="margin" w:tblpXSpec="center" w:tblpY="13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9468" w:type="dxa"/>
            <w:tcBorders>
              <w:bottom w:val="single" w:color="auto" w:sz="4" w:space="0"/>
            </w:tcBorders>
            <w:vAlign w:val="center"/>
          </w:tcPr>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……………于201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  月  日   :  之前不准启封（公章）……………</w:t>
            </w:r>
          </w:p>
        </w:tc>
      </w:tr>
    </w:tbl>
    <w:p>
      <w:pPr>
        <w:rPr>
          <w:rFonts w:hint="eastAsia" w:asciiTheme="minorEastAsia" w:hAnsiTheme="minorEastAsia" w:eastAsiaTheme="minorEastAsia" w:cstheme="minorEastAsia"/>
          <w:b/>
          <w:bCs/>
          <w:color w:val="auto"/>
          <w:sz w:val="24"/>
          <w:szCs w:val="24"/>
        </w:rPr>
      </w:pPr>
    </w:p>
    <w:p>
      <w:pPr>
        <w:pStyle w:val="21"/>
        <w:rPr>
          <w:rFonts w:hint="eastAsia" w:asciiTheme="minorEastAsia" w:hAnsiTheme="minorEastAsia" w:eastAsiaTheme="minorEastAsia" w:cstheme="minorEastAsia"/>
          <w:b/>
          <w:bCs/>
          <w:color w:val="auto"/>
          <w:sz w:val="24"/>
          <w:szCs w:val="24"/>
        </w:rPr>
      </w:pPr>
    </w:p>
    <w:p>
      <w:pPr>
        <w:pStyle w:val="21"/>
        <w:ind w:left="0" w:leftChars="0" w:firstLine="0" w:firstLineChars="0"/>
        <w:rPr>
          <w:rFonts w:hint="eastAsia" w:asciiTheme="minorEastAsia" w:hAnsiTheme="minorEastAsia" w:eastAsiaTheme="minorEastAsia" w:cstheme="minorEastAsia"/>
          <w:color w:val="auto"/>
          <w:lang w:val="en-US" w:eastAsia="zh-CN"/>
        </w:rPr>
      </w:pPr>
    </w:p>
    <w:p>
      <w:pPr>
        <w:ind w:firstLine="3855" w:firstLineChars="1600"/>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Fonts w:hint="eastAsia" w:asciiTheme="minorEastAsia" w:hAnsiTheme="minorEastAsia" w:eastAsiaTheme="minorEastAsia" w:cstheme="minorEastAsia"/>
          <w:b/>
          <w:bCs/>
          <w:color w:val="auto"/>
          <w:kern w:val="2"/>
          <w:sz w:val="24"/>
          <w:szCs w:val="24"/>
          <w:lang w:val="en-US" w:eastAsia="zh-CN" w:bidi="ar-SA"/>
        </w:rPr>
        <w:t>投标文件书脊</w:t>
      </w:r>
      <w:r>
        <w:rPr>
          <w:rStyle w:val="24"/>
          <w:rFonts w:hint="eastAsia" w:asciiTheme="minorEastAsia" w:hAnsiTheme="minorEastAsia" w:eastAsiaTheme="minorEastAsia" w:cstheme="minorEastAsia"/>
          <w:color w:val="auto"/>
          <w:spacing w:val="0"/>
          <w:sz w:val="24"/>
          <w:szCs w:val="24"/>
        </w:rPr>
        <w:cr/>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2"/>
        <w:gridCol w:w="1180"/>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trPr>
        <w:tc>
          <w:tcPr>
            <w:tcW w:w="3842" w:type="dxa"/>
            <w:vAlign w:val="top"/>
          </w:tcPr>
          <w:p>
            <w:pPr>
              <w:pStyle w:val="33"/>
              <w:widowControl w:val="0"/>
              <w:spacing w:before="381" w:after="0" w:line="237" w:lineRule="exact"/>
              <w:ind w:right="0"/>
              <w:jc w:val="both"/>
              <w:rPr>
                <w:rStyle w:val="24"/>
                <w:rFonts w:hint="eastAsia" w:asciiTheme="minorEastAsia" w:hAnsiTheme="minorEastAsia" w:eastAsiaTheme="minorEastAsia" w:cstheme="minorEastAsia"/>
                <w:color w:val="auto"/>
                <w:spacing w:val="0"/>
                <w:sz w:val="24"/>
                <w:szCs w:val="24"/>
                <w:vertAlign w:val="baseline"/>
                <w:lang w:val="en-US" w:eastAsia="zh-CN"/>
              </w:rPr>
            </w:pPr>
          </w:p>
          <w:p>
            <w:pPr>
              <w:pStyle w:val="33"/>
              <w:widowControl w:val="0"/>
              <w:spacing w:before="381" w:after="0" w:line="237" w:lineRule="exact"/>
              <w:ind w:right="0" w:firstLine="1205" w:firstLineChars="500"/>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Style w:val="24"/>
                <w:rFonts w:hint="eastAsia" w:asciiTheme="minorEastAsia" w:hAnsiTheme="minorEastAsia" w:eastAsiaTheme="minorEastAsia" w:cstheme="minorEastAsia"/>
                <w:color w:val="auto"/>
                <w:spacing w:val="0"/>
                <w:sz w:val="24"/>
                <w:szCs w:val="24"/>
                <w:vertAlign w:val="baseline"/>
                <w:lang w:val="en-US" w:eastAsia="zh-CN"/>
              </w:rPr>
              <w:t>标书背面</w:t>
            </w:r>
          </w:p>
        </w:tc>
        <w:tc>
          <w:tcPr>
            <w:tcW w:w="1180" w:type="dxa"/>
            <w:vAlign w:val="top"/>
          </w:tcPr>
          <w:p>
            <w:pPr>
              <w:pStyle w:val="33"/>
              <w:widowControl w:val="0"/>
              <w:spacing w:before="381" w:after="0" w:line="237" w:lineRule="exact"/>
              <w:ind w:firstLine="241" w:firstLineChars="100"/>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Style w:val="24"/>
                <w:rFonts w:hint="eastAsia" w:asciiTheme="minorEastAsia" w:hAnsiTheme="minorEastAsia" w:eastAsiaTheme="minorEastAsia" w:cstheme="minorEastAsia"/>
                <w:color w:val="auto"/>
                <w:spacing w:val="0"/>
                <w:sz w:val="24"/>
                <w:szCs w:val="24"/>
                <w:vertAlign w:val="baseline"/>
                <w:lang w:val="en-US" w:eastAsia="zh-CN"/>
              </w:rPr>
              <w:t>正本</w:t>
            </w:r>
          </w:p>
          <w:p>
            <w:pPr>
              <w:pStyle w:val="33"/>
              <w:widowControl w:val="0"/>
              <w:spacing w:before="381" w:after="0" w:line="237" w:lineRule="exact"/>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Style w:val="24"/>
                <w:rFonts w:hint="eastAsia" w:asciiTheme="minorEastAsia" w:hAnsiTheme="minorEastAsia" w:eastAsiaTheme="minorEastAsia" w:cstheme="minorEastAsia"/>
                <w:color w:val="auto"/>
                <w:spacing w:val="0"/>
                <w:sz w:val="24"/>
                <w:szCs w:val="24"/>
                <w:vertAlign w:val="baseline"/>
                <w:lang w:val="en-US" w:eastAsia="zh-CN"/>
              </w:rPr>
              <w:t>（副本）</w:t>
            </w:r>
          </w:p>
          <w:p>
            <w:pPr>
              <w:pStyle w:val="33"/>
              <w:widowControl w:val="0"/>
              <w:spacing w:before="381" w:after="0" w:line="237" w:lineRule="exact"/>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Style w:val="24"/>
                <w:rFonts w:hint="eastAsia" w:asciiTheme="minorEastAsia" w:hAnsiTheme="minorEastAsia" w:eastAsiaTheme="minorEastAsia" w:cstheme="minorEastAsia"/>
                <w:color w:val="auto"/>
                <w:spacing w:val="0"/>
                <w:sz w:val="24"/>
                <w:szCs w:val="24"/>
                <w:vertAlign w:val="baseline"/>
                <w:lang w:val="en-US" w:eastAsia="zh-CN"/>
              </w:rPr>
              <w:t>项  目   名    称</w:t>
            </w:r>
          </w:p>
          <w:p>
            <w:pPr>
              <w:pStyle w:val="33"/>
              <w:widowControl w:val="0"/>
              <w:spacing w:before="381" w:after="0" w:line="237" w:lineRule="exact"/>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Style w:val="24"/>
                <w:rFonts w:hint="eastAsia" w:asciiTheme="minorEastAsia" w:hAnsiTheme="minorEastAsia" w:eastAsiaTheme="minorEastAsia" w:cstheme="minorEastAsia"/>
                <w:color w:val="auto"/>
                <w:spacing w:val="0"/>
                <w:sz w:val="24"/>
                <w:szCs w:val="24"/>
                <w:vertAlign w:val="baseline"/>
                <w:lang w:val="en-US" w:eastAsia="zh-CN"/>
              </w:rPr>
              <w:t>投  标  单  位  名    称</w:t>
            </w:r>
          </w:p>
        </w:tc>
        <w:tc>
          <w:tcPr>
            <w:tcW w:w="3500" w:type="dxa"/>
            <w:vAlign w:val="top"/>
          </w:tcPr>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（正本</w:t>
            </w:r>
            <w:r>
              <w:rPr>
                <w:rFonts w:hint="eastAsia" w:asciiTheme="minorEastAsia" w:hAnsiTheme="minorEastAsia" w:eastAsiaTheme="minorEastAsia" w:cstheme="minorEastAsia"/>
                <w:color w:val="auto"/>
                <w:sz w:val="24"/>
                <w:szCs w:val="24"/>
                <w:lang w:val="en-US" w:eastAsia="zh-CN"/>
              </w:rPr>
              <w:t>/副本</w:t>
            </w:r>
            <w:r>
              <w:rPr>
                <w:rFonts w:hint="eastAsia" w:asciiTheme="minorEastAsia" w:hAnsiTheme="minorEastAsia" w:eastAsiaTheme="minorEastAsia" w:cstheme="minorEastAsia"/>
                <w:color w:val="auto"/>
                <w:sz w:val="24"/>
                <w:szCs w:val="24"/>
              </w:rPr>
              <w:t>）</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p>
            <w:pPr>
              <w:spacing w:line="480" w:lineRule="exact"/>
              <w:ind w:firstLine="482" w:firstLineChars="200"/>
              <w:jc w:val="both"/>
              <w:rPr>
                <w:rStyle w:val="24"/>
                <w:rFonts w:hint="eastAsia" w:asciiTheme="minorEastAsia" w:hAnsiTheme="minorEastAsia" w:eastAsiaTheme="minorEastAsia" w:cstheme="minorEastAsia"/>
                <w:color w:val="auto"/>
                <w:spacing w:val="0"/>
                <w:sz w:val="24"/>
                <w:szCs w:val="24"/>
                <w:vertAlign w:val="baseline"/>
                <w:lang w:val="en-US" w:eastAsia="zh-CN"/>
              </w:rPr>
            </w:pPr>
          </w:p>
        </w:tc>
      </w:tr>
    </w:tbl>
    <w:p>
      <w:pPr>
        <w:pStyle w:val="33"/>
        <w:spacing w:before="381" w:after="0" w:line="237" w:lineRule="exact"/>
        <w:ind w:right="0"/>
        <w:jc w:val="left"/>
        <w:rPr>
          <w:rStyle w:val="24"/>
          <w:rFonts w:hint="eastAsia" w:asciiTheme="minorEastAsia" w:hAnsiTheme="minorEastAsia" w:eastAsiaTheme="minorEastAsia" w:cstheme="minorEastAsia"/>
          <w:color w:val="auto"/>
          <w:spacing w:val="0"/>
          <w:sz w:val="24"/>
          <w:szCs w:val="24"/>
          <w:lang w:val="en-US" w:eastAsia="zh-CN"/>
        </w:rPr>
      </w:pPr>
    </w:p>
    <w:p>
      <w:pPr>
        <w:pStyle w:val="11"/>
        <w:spacing w:after="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注：书脊内容从上到下分别是：正（副）本、项目名称、投标单位名称。</w:t>
      </w: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spacing w:line="360" w:lineRule="auto"/>
        <w:ind w:leftChars="0"/>
        <w:rPr>
          <w:rFonts w:hint="eastAsia" w:asciiTheme="minorEastAsia" w:hAnsiTheme="minorEastAsia" w:eastAsiaTheme="minorEastAsia" w:cstheme="minorEastAsia"/>
          <w:color w:val="auto"/>
          <w:sz w:val="24"/>
          <w:szCs w:val="24"/>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DFKai-SB">
    <w:panose1 w:val="03000509000000000000"/>
    <w:charset w:val="88"/>
    <w:family w:val="script"/>
    <w:pitch w:val="default"/>
    <w:sig w:usb0="00000003" w:usb1="082E0000" w:usb2="00000016" w:usb3="00000000" w:csb0="00100001"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rFonts w:hint="eastAsia" w:ascii="黑体" w:hAnsi="黑体" w:eastAsia="黑体" w:cs="黑体"/>
        <w:sz w:val="15"/>
        <w:szCs w:val="15"/>
      </w:rPr>
    </w:pPr>
  </w:p>
  <w:p>
    <w:pPr>
      <w:pStyle w:val="17"/>
      <w:pBdr>
        <w:bottom w:val="none" w:color="auto" w:sz="0" w:space="1"/>
      </w:pBdr>
      <w:jc w:val="both"/>
      <w:rPr>
        <w:rFonts w:hint="eastAsia" w:ascii="黑体" w:hAnsi="黑体" w:eastAsia="黑体" w:cs="黑体"/>
        <w:sz w:val="15"/>
        <w:szCs w:val="15"/>
      </w:rPr>
    </w:pPr>
  </w:p>
  <w:p>
    <w:pPr>
      <w:pStyle w:val="17"/>
      <w:pBdr>
        <w:bottom w:val="none" w:color="auto" w:sz="0" w:space="1"/>
      </w:pBdr>
      <w:jc w:val="both"/>
    </w:pPr>
    <w:r>
      <w:rPr>
        <w:rFonts w:hint="eastAsia" w:ascii="黑体" w:hAnsi="黑体" w:eastAsia="黑体" w:cs="黑体"/>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ascii="黑体" w:hAnsi="黑体" w:eastAsia="黑体" w:cs="黑体"/>
        <w:sz w:val="15"/>
        <w:szCs w:val="15"/>
      </w:rPr>
    </w:pPr>
    <w:r>
      <w:rPr>
        <w:rFonts w:hint="eastAsia" w:ascii="黑体" w:hAnsi="黑体" w:eastAsia="黑体" w:cs="黑体"/>
        <w:sz w:val="15"/>
        <w:szCs w:val="15"/>
      </w:rPr>
      <w:drawing>
        <wp:anchor distT="0" distB="0" distL="114300" distR="114300" simplePos="0" relativeHeight="251658240" behindDoc="0" locked="0" layoutInCell="1" allowOverlap="1">
          <wp:simplePos x="0" y="0"/>
          <wp:positionH relativeFrom="column">
            <wp:posOffset>24130</wp:posOffset>
          </wp:positionH>
          <wp:positionV relativeFrom="paragraph">
            <wp:posOffset>46355</wp:posOffset>
          </wp:positionV>
          <wp:extent cx="422275" cy="410845"/>
          <wp:effectExtent l="0" t="0" r="15875" b="8255"/>
          <wp:wrapNone/>
          <wp:docPr id="5" name="图片 5" descr="山东蓝盾招标代理有限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山东蓝盾招标代理有限公司标志"/>
                  <pic:cNvPicPr>
                    <a:picLocks noChangeAspect="1"/>
                  </pic:cNvPicPr>
                </pic:nvPicPr>
                <pic:blipFill>
                  <a:blip r:embed="rId1"/>
                  <a:stretch>
                    <a:fillRect/>
                  </a:stretch>
                </pic:blipFill>
                <pic:spPr>
                  <a:xfrm>
                    <a:off x="0" y="0"/>
                    <a:ext cx="436880" cy="424815"/>
                  </a:xfrm>
                  <a:prstGeom prst="rect">
                    <a:avLst/>
                  </a:prstGeom>
                  <a:noFill/>
                  <a:ln w="9525">
                    <a:noFill/>
                  </a:ln>
                  <a:effectLst/>
                </pic:spPr>
              </pic:pic>
            </a:graphicData>
          </a:graphic>
        </wp:anchor>
      </w:drawing>
    </w:r>
    <w:r>
      <w:rPr>
        <w:rFonts w:hint="eastAsia" w:ascii="黑体" w:hAnsi="黑体" w:eastAsia="黑体" w:cs="黑体"/>
        <w:sz w:val="15"/>
        <w:szCs w:val="15"/>
      </w:rPr>
      <w:t xml:space="preserve">            </w:t>
    </w:r>
  </w:p>
  <w:p>
    <w:pPr>
      <w:pStyle w:val="17"/>
      <w:pBdr>
        <w:bottom w:val="none" w:color="auto" w:sz="0" w:space="1"/>
      </w:pBdr>
      <w:rPr>
        <w:rFonts w:ascii="黑体" w:hAnsi="黑体" w:eastAsia="黑体" w:cs="黑体"/>
        <w:sz w:val="15"/>
        <w:szCs w:val="15"/>
      </w:rPr>
    </w:pPr>
    <w:r>
      <w:rPr>
        <w:rFonts w:hint="eastAsia" w:ascii="黑体" w:hAnsi="黑体" w:eastAsia="黑体" w:cs="黑体"/>
        <w:sz w:val="15"/>
        <w:szCs w:val="15"/>
      </w:rPr>
      <w:t xml:space="preserve">           </w:t>
    </w:r>
  </w:p>
  <w:p>
    <w:pPr>
      <w:pStyle w:val="17"/>
      <w:pBdr>
        <w:bottom w:val="none" w:color="auto" w:sz="0" w:space="1"/>
      </w:pBdr>
      <w:rPr>
        <w:u w:val="single"/>
      </w:rPr>
    </w:pPr>
    <w:r>
      <w:rPr>
        <w:rFonts w:hint="eastAsia" w:ascii="黑体" w:hAnsi="黑体" w:eastAsia="黑体" w:cs="黑体"/>
        <w:sz w:val="15"/>
        <w:szCs w:val="15"/>
      </w:rPr>
      <w:t xml:space="preserve">              山东蓝盾</w:t>
    </w:r>
    <w:r>
      <w:rPr>
        <w:rFonts w:hint="eastAsia" w:ascii="黑体" w:hAnsi="黑体" w:eastAsia="黑体" w:cs="黑体"/>
        <w:sz w:val="15"/>
        <w:szCs w:val="15"/>
        <w:lang w:eastAsia="zh-CN"/>
      </w:rPr>
      <w:t>招标</w:t>
    </w:r>
    <w:r>
      <w:rPr>
        <w:rFonts w:hint="eastAsia" w:ascii="黑体" w:hAnsi="黑体" w:eastAsia="黑体" w:cs="黑体"/>
        <w:sz w:val="15"/>
        <w:szCs w:val="15"/>
      </w:rPr>
      <w:t>代理有限公司                 网址：http://www.sdldzb.com              联系方式：0531-88809762</w:t>
    </w:r>
  </w:p>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A17B4"/>
    <w:multiLevelType w:val="multilevel"/>
    <w:tmpl w:val="264A17B4"/>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57B3FE26"/>
    <w:multiLevelType w:val="singleLevel"/>
    <w:tmpl w:val="57B3FE26"/>
    <w:lvl w:ilvl="0" w:tentative="0">
      <w:start w:val="2"/>
      <w:numFmt w:val="decimal"/>
      <w:suff w:val="nothing"/>
      <w:lvlText w:val="%1."/>
      <w:lvlJc w:val="left"/>
      <w:rPr>
        <w:rFonts w:cs="Times New Roman"/>
      </w:rPr>
    </w:lvl>
  </w:abstractNum>
  <w:abstractNum w:abstractNumId="2">
    <w:nsid w:val="58DB4EEB"/>
    <w:multiLevelType w:val="singleLevel"/>
    <w:tmpl w:val="58DB4EEB"/>
    <w:lvl w:ilvl="0" w:tentative="0">
      <w:start w:val="3"/>
      <w:numFmt w:val="decimal"/>
      <w:suff w:val="nothing"/>
      <w:lvlText w:val="%1."/>
      <w:lvlJc w:val="left"/>
    </w:lvl>
  </w:abstractNum>
  <w:abstractNum w:abstractNumId="3">
    <w:nsid w:val="59001F78"/>
    <w:multiLevelType w:val="singleLevel"/>
    <w:tmpl w:val="59001F78"/>
    <w:lvl w:ilvl="0" w:tentative="0">
      <w:start w:val="4"/>
      <w:numFmt w:val="decimal"/>
      <w:suff w:val="nothing"/>
      <w:lvlText w:val="%1."/>
      <w:lvlJc w:val="left"/>
    </w:lvl>
  </w:abstractNum>
  <w:abstractNum w:abstractNumId="4">
    <w:nsid w:val="59002906"/>
    <w:multiLevelType w:val="singleLevel"/>
    <w:tmpl w:val="59002906"/>
    <w:lvl w:ilvl="0" w:tentative="0">
      <w:start w:val="1"/>
      <w:numFmt w:val="decimal"/>
      <w:suff w:val="nothing"/>
      <w:lvlText w:val="（%1）"/>
      <w:lvlJc w:val="left"/>
    </w:lvl>
  </w:abstractNum>
  <w:abstractNum w:abstractNumId="5">
    <w:nsid w:val="59002F00"/>
    <w:multiLevelType w:val="singleLevel"/>
    <w:tmpl w:val="59002F00"/>
    <w:lvl w:ilvl="0" w:tentative="0">
      <w:start w:val="1"/>
      <w:numFmt w:val="decimal"/>
      <w:suff w:val="nothing"/>
      <w:lvlText w:val="（%1）"/>
      <w:lvlJc w:val="left"/>
    </w:lvl>
  </w:abstractNum>
  <w:abstractNum w:abstractNumId="6">
    <w:nsid w:val="59003669"/>
    <w:multiLevelType w:val="singleLevel"/>
    <w:tmpl w:val="59003669"/>
    <w:lvl w:ilvl="0" w:tentative="0">
      <w:start w:val="9"/>
      <w:numFmt w:val="decimal"/>
      <w:suff w:val="nothing"/>
      <w:lvlText w:val="%1."/>
      <w:lvlJc w:val="left"/>
    </w:lvl>
  </w:abstractNum>
  <w:abstractNum w:abstractNumId="7">
    <w:nsid w:val="59005D7A"/>
    <w:multiLevelType w:val="singleLevel"/>
    <w:tmpl w:val="59005D7A"/>
    <w:lvl w:ilvl="0" w:tentative="0">
      <w:start w:val="6"/>
      <w:numFmt w:val="decimal"/>
      <w:suff w:val="nothing"/>
      <w:lvlText w:val="%1."/>
      <w:lvlJc w:val="left"/>
    </w:lvl>
  </w:abstractNum>
  <w:abstractNum w:abstractNumId="8">
    <w:nsid w:val="59008C02"/>
    <w:multiLevelType w:val="singleLevel"/>
    <w:tmpl w:val="59008C02"/>
    <w:lvl w:ilvl="0" w:tentative="0">
      <w:start w:val="13"/>
      <w:numFmt w:val="decimal"/>
      <w:suff w:val="nothing"/>
      <w:lvlText w:val="%1."/>
      <w:lvlJc w:val="left"/>
    </w:lvl>
  </w:abstractNum>
  <w:abstractNum w:abstractNumId="9">
    <w:nsid w:val="59008C6B"/>
    <w:multiLevelType w:val="singleLevel"/>
    <w:tmpl w:val="59008C6B"/>
    <w:lvl w:ilvl="0" w:tentative="0">
      <w:start w:val="18"/>
      <w:numFmt w:val="decimal"/>
      <w:suff w:val="nothing"/>
      <w:lvlText w:val="%1."/>
      <w:lvlJc w:val="left"/>
    </w:lvl>
  </w:abstractNum>
  <w:abstractNum w:abstractNumId="10">
    <w:nsid w:val="59CB769B"/>
    <w:multiLevelType w:val="singleLevel"/>
    <w:tmpl w:val="59CB769B"/>
    <w:lvl w:ilvl="0" w:tentative="0">
      <w:start w:val="1"/>
      <w:numFmt w:val="decimal"/>
      <w:suff w:val="nothing"/>
      <w:lvlText w:val="%1、"/>
      <w:lvlJc w:val="left"/>
    </w:lvl>
  </w:abstractNum>
  <w:abstractNum w:abstractNumId="11">
    <w:nsid w:val="60BAFC77"/>
    <w:multiLevelType w:val="singleLevel"/>
    <w:tmpl w:val="60BAFC77"/>
    <w:lvl w:ilvl="0" w:tentative="0">
      <w:start w:val="7"/>
      <w:numFmt w:val="chineseCounting"/>
      <w:suff w:val="space"/>
      <w:lvlText w:val="第%1部分"/>
      <w:lvlJc w:val="left"/>
      <w:rPr>
        <w:rFonts w:hint="eastAsia"/>
      </w:rPr>
    </w:lvl>
  </w:abstractNum>
  <w:abstractNum w:abstractNumId="12">
    <w:nsid w:val="73251C11"/>
    <w:multiLevelType w:val="multilevel"/>
    <w:tmpl w:val="73251C11"/>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4"/>
  </w:num>
  <w:num w:numId="3">
    <w:abstractNumId w:val="5"/>
  </w:num>
  <w:num w:numId="4">
    <w:abstractNumId w:val="6"/>
  </w:num>
  <w:num w:numId="5">
    <w:abstractNumId w:val="8"/>
  </w:num>
  <w:num w:numId="6">
    <w:abstractNumId w:val="9"/>
  </w:num>
  <w:num w:numId="7">
    <w:abstractNumId w:val="7"/>
  </w:num>
  <w:num w:numId="8">
    <w:abstractNumId w:val="12"/>
  </w:num>
  <w:num w:numId="9">
    <w:abstractNumId w:val="0"/>
  </w:num>
  <w:num w:numId="10">
    <w:abstractNumId w:val="1"/>
  </w:num>
  <w:num w:numId="11">
    <w:abstractNumId w:val="2"/>
  </w:num>
  <w:num w:numId="12">
    <w:abstractNumId w:val="10"/>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ianLL">
    <w15:presenceInfo w15:providerId="None" w15:userId="Tian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746CC"/>
    <w:rsid w:val="00B503B5"/>
    <w:rsid w:val="01393004"/>
    <w:rsid w:val="018F77B0"/>
    <w:rsid w:val="026725D7"/>
    <w:rsid w:val="02E621F6"/>
    <w:rsid w:val="03256473"/>
    <w:rsid w:val="045B42DC"/>
    <w:rsid w:val="04877C37"/>
    <w:rsid w:val="058E107F"/>
    <w:rsid w:val="05A14612"/>
    <w:rsid w:val="05D7759F"/>
    <w:rsid w:val="05DF6647"/>
    <w:rsid w:val="06574613"/>
    <w:rsid w:val="06A13C37"/>
    <w:rsid w:val="078F1EDD"/>
    <w:rsid w:val="08C24F15"/>
    <w:rsid w:val="08DC162F"/>
    <w:rsid w:val="09487D80"/>
    <w:rsid w:val="095C41A4"/>
    <w:rsid w:val="097E7EBA"/>
    <w:rsid w:val="09F642AB"/>
    <w:rsid w:val="0AC5577D"/>
    <w:rsid w:val="0AFE6744"/>
    <w:rsid w:val="0B8F46BA"/>
    <w:rsid w:val="0BDB0553"/>
    <w:rsid w:val="0CBC1E1D"/>
    <w:rsid w:val="0CC730C6"/>
    <w:rsid w:val="0EE95D08"/>
    <w:rsid w:val="0EFB26D0"/>
    <w:rsid w:val="10531011"/>
    <w:rsid w:val="107210DB"/>
    <w:rsid w:val="1076173B"/>
    <w:rsid w:val="10D22BDF"/>
    <w:rsid w:val="11A85411"/>
    <w:rsid w:val="11E12A12"/>
    <w:rsid w:val="11E76E8C"/>
    <w:rsid w:val="120537FE"/>
    <w:rsid w:val="12EB17AC"/>
    <w:rsid w:val="13822BA9"/>
    <w:rsid w:val="13CE7C86"/>
    <w:rsid w:val="15953A81"/>
    <w:rsid w:val="177521CE"/>
    <w:rsid w:val="17C9450C"/>
    <w:rsid w:val="186E6DA2"/>
    <w:rsid w:val="19B94CD3"/>
    <w:rsid w:val="1A40472F"/>
    <w:rsid w:val="1B9535E6"/>
    <w:rsid w:val="1BB75899"/>
    <w:rsid w:val="1BE721AC"/>
    <w:rsid w:val="1C06697D"/>
    <w:rsid w:val="1CC46743"/>
    <w:rsid w:val="1CD329C8"/>
    <w:rsid w:val="1D122D6C"/>
    <w:rsid w:val="1EF95DDA"/>
    <w:rsid w:val="1FA80137"/>
    <w:rsid w:val="209723B7"/>
    <w:rsid w:val="20D641C0"/>
    <w:rsid w:val="217111B6"/>
    <w:rsid w:val="24BF0181"/>
    <w:rsid w:val="26A020B8"/>
    <w:rsid w:val="27656DE4"/>
    <w:rsid w:val="291902FE"/>
    <w:rsid w:val="296514F5"/>
    <w:rsid w:val="2A435ACB"/>
    <w:rsid w:val="2AB774F1"/>
    <w:rsid w:val="2ABB75A4"/>
    <w:rsid w:val="2BAF3BB2"/>
    <w:rsid w:val="2C0048CC"/>
    <w:rsid w:val="2CCB4BD7"/>
    <w:rsid w:val="2D853DF5"/>
    <w:rsid w:val="2E8E4DED"/>
    <w:rsid w:val="2EA21A50"/>
    <w:rsid w:val="2EC11020"/>
    <w:rsid w:val="2F1334F0"/>
    <w:rsid w:val="30104677"/>
    <w:rsid w:val="309565F9"/>
    <w:rsid w:val="3101756D"/>
    <w:rsid w:val="3102214D"/>
    <w:rsid w:val="3132278A"/>
    <w:rsid w:val="31B041CD"/>
    <w:rsid w:val="32B85308"/>
    <w:rsid w:val="333365EE"/>
    <w:rsid w:val="33942B06"/>
    <w:rsid w:val="343915E6"/>
    <w:rsid w:val="35147E5F"/>
    <w:rsid w:val="359472AB"/>
    <w:rsid w:val="36A03EF4"/>
    <w:rsid w:val="36B26AA2"/>
    <w:rsid w:val="37DD5FCA"/>
    <w:rsid w:val="381338D6"/>
    <w:rsid w:val="391F6628"/>
    <w:rsid w:val="39335533"/>
    <w:rsid w:val="39C43847"/>
    <w:rsid w:val="3BCF076D"/>
    <w:rsid w:val="3C286574"/>
    <w:rsid w:val="3C624B33"/>
    <w:rsid w:val="3C984C98"/>
    <w:rsid w:val="3E1A4355"/>
    <w:rsid w:val="3E9F671E"/>
    <w:rsid w:val="3F1A2DC6"/>
    <w:rsid w:val="40EA69DD"/>
    <w:rsid w:val="41464752"/>
    <w:rsid w:val="42302A58"/>
    <w:rsid w:val="42D678FE"/>
    <w:rsid w:val="43D45620"/>
    <w:rsid w:val="443A75EF"/>
    <w:rsid w:val="44CB4AB5"/>
    <w:rsid w:val="44EC7EEF"/>
    <w:rsid w:val="45EC2559"/>
    <w:rsid w:val="46877B3F"/>
    <w:rsid w:val="468A1E90"/>
    <w:rsid w:val="46F873E6"/>
    <w:rsid w:val="47957171"/>
    <w:rsid w:val="47C448C3"/>
    <w:rsid w:val="47F61BA3"/>
    <w:rsid w:val="48904CD6"/>
    <w:rsid w:val="491C7AEA"/>
    <w:rsid w:val="4A1E24DD"/>
    <w:rsid w:val="4CCF3EFF"/>
    <w:rsid w:val="4D3212A0"/>
    <w:rsid w:val="4D325D94"/>
    <w:rsid w:val="4D6C4E94"/>
    <w:rsid w:val="4EF80DCD"/>
    <w:rsid w:val="4F0011E7"/>
    <w:rsid w:val="4F2B55E1"/>
    <w:rsid w:val="4FE160B2"/>
    <w:rsid w:val="510330CD"/>
    <w:rsid w:val="51842F04"/>
    <w:rsid w:val="518A32B2"/>
    <w:rsid w:val="518D7665"/>
    <w:rsid w:val="51B54778"/>
    <w:rsid w:val="52B0136F"/>
    <w:rsid w:val="52FB51C1"/>
    <w:rsid w:val="53473F9A"/>
    <w:rsid w:val="545C3829"/>
    <w:rsid w:val="54744CE1"/>
    <w:rsid w:val="549910D7"/>
    <w:rsid w:val="55A172D6"/>
    <w:rsid w:val="56034790"/>
    <w:rsid w:val="56071ECB"/>
    <w:rsid w:val="561335A9"/>
    <w:rsid w:val="57165533"/>
    <w:rsid w:val="575A49BD"/>
    <w:rsid w:val="5784186B"/>
    <w:rsid w:val="57B220F9"/>
    <w:rsid w:val="586A2536"/>
    <w:rsid w:val="589D67C1"/>
    <w:rsid w:val="58AF429A"/>
    <w:rsid w:val="58F03793"/>
    <w:rsid w:val="5B144E20"/>
    <w:rsid w:val="5B3A5E3C"/>
    <w:rsid w:val="5BE127A0"/>
    <w:rsid w:val="5BEC1BF3"/>
    <w:rsid w:val="5BEE0ED2"/>
    <w:rsid w:val="5D9878AC"/>
    <w:rsid w:val="5DC47DEF"/>
    <w:rsid w:val="5E5B771B"/>
    <w:rsid w:val="5EB62220"/>
    <w:rsid w:val="600616DA"/>
    <w:rsid w:val="60622855"/>
    <w:rsid w:val="606D51E3"/>
    <w:rsid w:val="61871BC5"/>
    <w:rsid w:val="627C5CAF"/>
    <w:rsid w:val="62D83DA9"/>
    <w:rsid w:val="638C0D3E"/>
    <w:rsid w:val="64033831"/>
    <w:rsid w:val="6594700F"/>
    <w:rsid w:val="65DD117C"/>
    <w:rsid w:val="667A4048"/>
    <w:rsid w:val="66FC4828"/>
    <w:rsid w:val="67032945"/>
    <w:rsid w:val="67E0149D"/>
    <w:rsid w:val="692C5D7A"/>
    <w:rsid w:val="6A803288"/>
    <w:rsid w:val="6A917177"/>
    <w:rsid w:val="6BD335B1"/>
    <w:rsid w:val="6BD403F2"/>
    <w:rsid w:val="6BD74183"/>
    <w:rsid w:val="6C616795"/>
    <w:rsid w:val="6CCB044B"/>
    <w:rsid w:val="6CF444E6"/>
    <w:rsid w:val="6D535020"/>
    <w:rsid w:val="6D61167A"/>
    <w:rsid w:val="6E2E2940"/>
    <w:rsid w:val="6EE22385"/>
    <w:rsid w:val="6F2D6193"/>
    <w:rsid w:val="6F486A57"/>
    <w:rsid w:val="6F4A408D"/>
    <w:rsid w:val="6F893861"/>
    <w:rsid w:val="70332C8C"/>
    <w:rsid w:val="7056218F"/>
    <w:rsid w:val="70692898"/>
    <w:rsid w:val="70A2034E"/>
    <w:rsid w:val="70FF0763"/>
    <w:rsid w:val="7179519E"/>
    <w:rsid w:val="725B54A0"/>
    <w:rsid w:val="732D3B8A"/>
    <w:rsid w:val="7356223A"/>
    <w:rsid w:val="74EB22E9"/>
    <w:rsid w:val="75684C83"/>
    <w:rsid w:val="75764DA9"/>
    <w:rsid w:val="75A328B3"/>
    <w:rsid w:val="766E3E38"/>
    <w:rsid w:val="77AA6096"/>
    <w:rsid w:val="78111CEE"/>
    <w:rsid w:val="78C96115"/>
    <w:rsid w:val="791E32C1"/>
    <w:rsid w:val="79665F5A"/>
    <w:rsid w:val="79C83DCA"/>
    <w:rsid w:val="79CF3CD9"/>
    <w:rsid w:val="7A637F10"/>
    <w:rsid w:val="7C805EDC"/>
    <w:rsid w:val="7D130F40"/>
    <w:rsid w:val="7DA415F4"/>
    <w:rsid w:val="7F314742"/>
    <w:rsid w:val="7F89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4"/>
      <w:lang w:val="en-US" w:eastAsia="zh-CN" w:bidi="ar-SA"/>
    </w:rPr>
  </w:style>
  <w:style w:type="paragraph" w:styleId="4">
    <w:name w:val="heading 1"/>
    <w:basedOn w:val="1"/>
    <w:next w:val="1"/>
    <w:link w:val="38"/>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24">
    <w:name w:val="Default Paragraph Font"/>
    <w:link w:val="25"/>
    <w:semiHidden/>
    <w:qFormat/>
    <w:uiPriority w:val="0"/>
    <w:rPr>
      <w:rFonts w:ascii="仿宋_GB2312" w:eastAsia="仿宋_GB2312"/>
      <w:b/>
      <w:sz w:val="32"/>
      <w:szCs w:val="32"/>
    </w:rPr>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spacing w:line="240" w:lineRule="atLeast"/>
    </w:pPr>
    <w:rPr>
      <w:rFonts w:ascii="DFKai-SB" w:eastAsia="PMingLiU"/>
      <w:spacing w:val="-10"/>
      <w:sz w:val="20"/>
      <w:lang w:eastAsia="zh-TW"/>
    </w:rPr>
  </w:style>
  <w:style w:type="paragraph" w:customStyle="1" w:styleId="3">
    <w:name w:val="UserStyle_0"/>
    <w:qFormat/>
    <w:uiPriority w:val="0"/>
    <w:rPr>
      <w:rFonts w:ascii="DFKai-SB" w:hAnsi="Times New Roman" w:eastAsia="DFKai-SB" w:cs="Times New Roman"/>
      <w:color w:val="000000"/>
      <w:sz w:val="24"/>
      <w:szCs w:val="24"/>
      <w:lang w:val="en-US" w:eastAsia="zh-TW" w:bidi="ar-SA"/>
    </w:rPr>
  </w:style>
  <w:style w:type="paragraph" w:styleId="7">
    <w:name w:val="Normal Indent"/>
    <w:basedOn w:val="1"/>
    <w:qFormat/>
    <w:uiPriority w:val="0"/>
    <w:pPr>
      <w:ind w:firstLine="420"/>
    </w:pPr>
    <w:rPr>
      <w:rFonts w:ascii="仿宋_GB2312"/>
      <w:b/>
      <w:szCs w:val="32"/>
    </w:rPr>
  </w:style>
  <w:style w:type="paragraph" w:styleId="8">
    <w:name w:val="caption"/>
    <w:basedOn w:val="1"/>
    <w:next w:val="1"/>
    <w:qFormat/>
    <w:uiPriority w:val="0"/>
    <w:pPr>
      <w:jc w:val="left"/>
    </w:pPr>
    <w:rPr>
      <w:rFonts w:eastAsia="PMingLiU"/>
      <w:sz w:val="20"/>
      <w:szCs w:val="20"/>
      <w:lang w:eastAsia="zh-TW"/>
    </w:rPr>
  </w:style>
  <w:style w:type="paragraph" w:styleId="9">
    <w:name w:val="toa heading"/>
    <w:basedOn w:val="1"/>
    <w:next w:val="1"/>
    <w:semiHidden/>
    <w:qFormat/>
    <w:uiPriority w:val="0"/>
    <w:pPr>
      <w:widowControl w:val="0"/>
      <w:spacing w:before="120"/>
      <w:jc w:val="both"/>
    </w:pPr>
    <w:rPr>
      <w:rFonts w:ascii="Arial" w:hAnsi="Arial"/>
      <w:kern w:val="2"/>
      <w:sz w:val="24"/>
    </w:rPr>
  </w:style>
  <w:style w:type="paragraph" w:styleId="10">
    <w:name w:val="Body Text 3"/>
    <w:basedOn w:val="1"/>
    <w:qFormat/>
    <w:uiPriority w:val="0"/>
    <w:pPr>
      <w:spacing w:after="120" w:afterLines="0"/>
    </w:pPr>
    <w:rPr>
      <w:sz w:val="16"/>
      <w:szCs w:val="16"/>
    </w:rPr>
  </w:style>
  <w:style w:type="paragraph" w:styleId="11">
    <w:name w:val="Body Text"/>
    <w:basedOn w:val="1"/>
    <w:next w:val="12"/>
    <w:qFormat/>
    <w:uiPriority w:val="0"/>
    <w:pPr>
      <w:spacing w:line="240" w:lineRule="atLeast"/>
      <w:jc w:val="left"/>
    </w:pPr>
    <w:rPr>
      <w:rFonts w:ascii="DFKai-SB" w:eastAsia="PMingLiU"/>
      <w:spacing w:val="-10"/>
      <w:sz w:val="20"/>
      <w:lang w:eastAsia="zh-TW"/>
    </w:rPr>
  </w:style>
  <w:style w:type="paragraph" w:customStyle="1" w:styleId="12">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 w:type="paragraph" w:styleId="13">
    <w:name w:val="Body Text Indent"/>
    <w:basedOn w:val="1"/>
    <w:qFormat/>
    <w:uiPriority w:val="0"/>
    <w:pPr>
      <w:ind w:firstLine="630"/>
      <w:jc w:val="left"/>
    </w:pPr>
    <w:rPr>
      <w:rFonts w:ascii="宋体" w:hAnsi="宋体"/>
      <w:sz w:val="30"/>
    </w:rPr>
  </w:style>
  <w:style w:type="paragraph" w:styleId="14">
    <w:name w:val="index 4"/>
    <w:basedOn w:val="1"/>
    <w:next w:val="1"/>
    <w:qFormat/>
    <w:uiPriority w:val="99"/>
    <w:pPr>
      <w:ind w:left="600" w:leftChars="600"/>
      <w:jc w:val="left"/>
    </w:pPr>
    <w:rPr>
      <w:rFonts w:ascii="DFKai-SB" w:eastAsia="DFKai-SB"/>
      <w:sz w:val="28"/>
      <w:lang w:eastAsia="zh-TW"/>
    </w:rPr>
  </w:style>
  <w:style w:type="paragraph" w:styleId="15">
    <w:name w:val="Plain Text"/>
    <w:basedOn w:val="1"/>
    <w:qFormat/>
    <w:uiPriority w:val="0"/>
    <w:rPr>
      <w:rFonts w:ascii="宋体" w:hAnsi="Courier New"/>
      <w:b/>
      <w:sz w:val="24"/>
      <w:szCs w:val="32"/>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0">
    <w:name w:val="Title"/>
    <w:basedOn w:val="1"/>
    <w:next w:val="1"/>
    <w:qFormat/>
    <w:uiPriority w:val="0"/>
    <w:pPr>
      <w:spacing w:before="240" w:beforeLines="0" w:after="60" w:afterLines="0"/>
      <w:jc w:val="center"/>
      <w:outlineLvl w:val="0"/>
    </w:pPr>
    <w:rPr>
      <w:rFonts w:ascii="Arial" w:hAnsi="Arial" w:eastAsia="PMingLiU" w:cs="Arial"/>
      <w:b/>
      <w:bCs/>
      <w:sz w:val="32"/>
      <w:szCs w:val="32"/>
      <w:lang w:eastAsia="zh-TW"/>
    </w:rPr>
  </w:style>
  <w:style w:type="paragraph" w:styleId="21">
    <w:name w:val="Body Text First Indent 2"/>
    <w:basedOn w:val="13"/>
    <w:qFormat/>
    <w:uiPriority w:val="0"/>
    <w:pPr>
      <w:spacing w:after="120" w:afterLines="0"/>
      <w:ind w:left="480" w:leftChars="200" w:firstLine="210" w:firstLineChars="100"/>
    </w:pPr>
    <w:rPr>
      <w:rFonts w:ascii="DFKai-SB" w:hAnsi="Times New Roman" w:eastAsia="DFKai-SB"/>
      <w:sz w:val="28"/>
      <w:lang w:eastAsia="zh-TW"/>
    </w:r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 Char"/>
    <w:basedOn w:val="1"/>
    <w:next w:val="1"/>
    <w:link w:val="24"/>
    <w:qFormat/>
    <w:uiPriority w:val="0"/>
    <w:pPr>
      <w:spacing w:before="100" w:beforeLines="0" w:beforeAutospacing="1" w:after="100" w:afterLines="0" w:afterAutospacing="1"/>
    </w:pPr>
    <w:rPr>
      <w:rFonts w:ascii="仿宋_GB2312" w:eastAsia="仿宋_GB2312"/>
      <w:b/>
      <w:sz w:val="32"/>
      <w:szCs w:val="32"/>
    </w:rPr>
  </w:style>
  <w:style w:type="character" w:styleId="26">
    <w:name w:val="Strong"/>
    <w:qFormat/>
    <w:uiPriority w:val="0"/>
    <w:rPr>
      <w:rFonts w:ascii="仿宋_GB2312" w:eastAsia="仿宋_GB2312"/>
      <w:bCs/>
      <w:sz w:val="32"/>
      <w:szCs w:val="32"/>
    </w:rPr>
  </w:style>
  <w:style w:type="character" w:styleId="27">
    <w:name w:val="page number"/>
    <w:basedOn w:val="24"/>
    <w:qFormat/>
    <w:uiPriority w:val="0"/>
  </w:style>
  <w:style w:type="character" w:styleId="28">
    <w:name w:val="Hyperlink"/>
    <w:qFormat/>
    <w:uiPriority w:val="99"/>
    <w:rPr>
      <w:rFonts w:ascii="Tahoma" w:hAnsi="Tahoma"/>
      <w:color w:val="000000"/>
      <w:kern w:val="2"/>
      <w:sz w:val="24"/>
      <w:u w:val="none"/>
    </w:rPr>
  </w:style>
  <w:style w:type="paragraph" w:customStyle="1" w:styleId="29">
    <w:name w:val="样式9 Char"/>
    <w:basedOn w:val="1"/>
    <w:qFormat/>
    <w:uiPriority w:val="0"/>
    <w:pPr>
      <w:spacing w:line="440" w:lineRule="exact"/>
      <w:ind w:firstLine="200" w:firstLineChars="200"/>
    </w:pPr>
    <w:rPr>
      <w:spacing w:val="6"/>
      <w:sz w:val="24"/>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样式3"/>
    <w:basedOn w:val="1"/>
    <w:qFormat/>
    <w:uiPriority w:val="0"/>
    <w:pPr>
      <w:widowControl/>
      <w:spacing w:line="480" w:lineRule="exact"/>
      <w:jc w:val="center"/>
    </w:pPr>
    <w:rPr>
      <w:rFonts w:ascii="Arial" w:hAnsi="Arial" w:eastAsia="黑体"/>
      <w:spacing w:val="6"/>
      <w:kern w:val="0"/>
      <w:sz w:val="32"/>
      <w:szCs w:val="20"/>
    </w:rPr>
  </w:style>
  <w:style w:type="paragraph" w:customStyle="1" w:styleId="32">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33">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4">
    <w:name w:val="样式29"/>
    <w:basedOn w:val="29"/>
    <w:qFormat/>
    <w:uiPriority w:val="0"/>
    <w:rPr>
      <w:rFonts w:eastAsia="楷体_GB2312"/>
    </w:rPr>
  </w:style>
  <w:style w:type="paragraph" w:customStyle="1" w:styleId="35">
    <w:name w:val="样式 正文缩进 + 首行缩进:  2 字符"/>
    <w:basedOn w:val="7"/>
    <w:qFormat/>
    <w:uiPriority w:val="0"/>
    <w:pPr>
      <w:spacing w:line="360" w:lineRule="auto"/>
      <w:ind w:firstLine="200" w:firstLineChars="200"/>
    </w:pPr>
    <w:rPr>
      <w:sz w:val="24"/>
    </w:rPr>
  </w:style>
  <w:style w:type="paragraph" w:customStyle="1" w:styleId="36">
    <w:name w:val="贵正1"/>
    <w:basedOn w:val="1"/>
    <w:qFormat/>
    <w:uiPriority w:val="0"/>
    <w:pPr>
      <w:spacing w:afterLines="50" w:line="360" w:lineRule="auto"/>
      <w:ind w:firstLine="420" w:firstLineChars="200"/>
    </w:pPr>
    <w:rPr>
      <w:rFonts w:ascii="华文仿宋" w:hAnsi="华文仿宋" w:eastAsia="华文仿宋"/>
      <w:szCs w:val="20"/>
    </w:rPr>
  </w:style>
  <w:style w:type="paragraph" w:customStyle="1" w:styleId="37">
    <w:name w:val="数据正文"/>
    <w:basedOn w:val="1"/>
    <w:qFormat/>
    <w:uiPriority w:val="0"/>
    <w:pPr>
      <w:spacing w:before="120" w:after="120" w:line="360" w:lineRule="auto"/>
      <w:ind w:firstLine="200" w:firstLineChars="200"/>
      <w:jc w:val="left"/>
    </w:pPr>
    <w:rPr>
      <w:rFonts w:ascii="宋体" w:hAnsi="宋体"/>
      <w:sz w:val="28"/>
      <w:szCs w:val="28"/>
    </w:rPr>
  </w:style>
  <w:style w:type="character" w:customStyle="1" w:styleId="38">
    <w:name w:val="标题 1 Char"/>
    <w:link w:val="4"/>
    <w:qFormat/>
    <w:uiPriority w:val="0"/>
    <w:rPr>
      <w:b/>
      <w:bCs/>
      <w:kern w:val="44"/>
      <w:sz w:val="44"/>
      <w:szCs w:val="44"/>
    </w:rPr>
  </w:style>
  <w:style w:type="paragraph" w:customStyle="1" w:styleId="39">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40">
    <w:name w:val="NormalCharacter"/>
    <w:semiHidden/>
    <w:qFormat/>
    <w:uiPriority w:val="0"/>
  </w:style>
  <w:style w:type="paragraph" w:customStyle="1" w:styleId="41">
    <w:name w:val="UserStyle_1"/>
    <w:qFormat/>
    <w:uiPriority w:val="0"/>
    <w:pPr>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56</Pages>
  <Words>23117</Words>
  <Characters>24322</Characters>
  <Lines>0</Lines>
  <Paragraphs>0</Paragraphs>
  <TotalTime>12</TotalTime>
  <ScaleCrop>false</ScaleCrop>
  <LinksUpToDate>false</LinksUpToDate>
  <CharactersWithSpaces>26688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2018-10-29T02:13:00Z</dcterms:created>
  <dc:creator>a</dc:creator>
  <cp:lastModifiedBy>a</cp:lastModifiedBy>
  <cp:lastPrinted>2019-11-12T06:02:00Z</cp:lastPrinted>
  <dcterms:modified xsi:type="dcterms:W3CDTF">2019-11-15T09:13:13Z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