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56"/>
          <w:szCs w:val="56"/>
        </w:rPr>
      </w:pPr>
      <w:r>
        <w:rPr>
          <w:rFonts w:hint="eastAsia" w:ascii="宋体" w:hAnsi="宋体" w:eastAsia="宋体" w:cs="宋体"/>
          <w:b/>
          <w:bCs/>
          <w:sz w:val="56"/>
          <w:szCs w:val="56"/>
        </w:rPr>
        <w:t>济南市生态环境局市控重点河流断面水质在线监测建设（一期）</w:t>
      </w:r>
    </w:p>
    <w:p>
      <w:pPr>
        <w:jc w:val="center"/>
        <w:rPr>
          <w:rFonts w:ascii="宋体" w:hAnsi="宋体" w:eastAsia="宋体" w:cs="宋体"/>
          <w:b/>
          <w:bCs/>
          <w:sz w:val="56"/>
          <w:szCs w:val="56"/>
        </w:rPr>
      </w:pPr>
      <w:r>
        <w:rPr>
          <w:rFonts w:hint="eastAsia" w:ascii="宋体" w:hAnsi="宋体" w:eastAsia="宋体" w:cs="宋体"/>
          <w:b/>
          <w:bCs/>
          <w:sz w:val="56"/>
          <w:szCs w:val="56"/>
        </w:rPr>
        <w:t>服务采购公告</w:t>
      </w:r>
    </w:p>
    <w:p>
      <w:pPr>
        <w:spacing w:line="500" w:lineRule="exact"/>
        <w:rPr>
          <w:rFonts w:ascii="宋体" w:hAnsi="宋体" w:eastAsia="宋体" w:cs="宋体"/>
          <w:sz w:val="24"/>
        </w:rPr>
      </w:pPr>
    </w:p>
    <w:p>
      <w:pPr>
        <w:jc w:val="center"/>
        <w:rPr>
          <w:rFonts w:ascii="宋体" w:hAnsi="宋体" w:eastAsia="宋体" w:cs="宋体"/>
          <w:b/>
          <w:bCs/>
          <w:sz w:val="56"/>
          <w:szCs w:val="56"/>
        </w:rPr>
      </w:pPr>
      <w:r>
        <w:rPr>
          <w:rFonts w:hint="eastAsia" w:ascii="宋体" w:hAnsi="宋体" w:eastAsia="宋体" w:cs="宋体"/>
          <w:b/>
          <w:bCs/>
          <w:sz w:val="56"/>
          <w:szCs w:val="56"/>
        </w:rPr>
        <w:t>招标文件</w:t>
      </w:r>
    </w:p>
    <w:p>
      <w:pPr>
        <w:rPr>
          <w:rFonts w:ascii="宋体" w:hAnsi="宋体" w:eastAsia="宋体" w:cs="宋体"/>
          <w:sz w:val="84"/>
          <w:szCs w:val="84"/>
        </w:rPr>
      </w:pPr>
    </w:p>
    <w:p>
      <w:pPr>
        <w:pStyle w:val="9"/>
      </w:pPr>
    </w:p>
    <w:p>
      <w:pPr>
        <w:snapToGrid w:val="0"/>
        <w:spacing w:line="300" w:lineRule="auto"/>
        <w:jc w:val="center"/>
        <w:rPr>
          <w:rFonts w:ascii="宋体" w:hAnsi="宋体" w:eastAsia="宋体" w:cs="宋体"/>
          <w:sz w:val="32"/>
          <w:szCs w:val="32"/>
        </w:rPr>
      </w:pPr>
      <w:r>
        <w:rPr>
          <w:rFonts w:hint="eastAsia" w:ascii="宋体" w:hAnsi="宋体" w:eastAsia="宋体" w:cs="宋体"/>
          <w:sz w:val="72"/>
          <w:szCs w:val="72"/>
        </w:rPr>
        <w:drawing>
          <wp:inline distT="0" distB="0" distL="114300" distR="114300">
            <wp:extent cx="1629410" cy="1576705"/>
            <wp:effectExtent l="0" t="0" r="8890" b="4445"/>
            <wp:docPr id="15" name="图片 1" descr="新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新标识"/>
                    <pic:cNvPicPr>
                      <a:picLocks noChangeAspect="1"/>
                    </pic:cNvPicPr>
                  </pic:nvPicPr>
                  <pic:blipFill>
                    <a:blip r:embed="rId9" cstate="print"/>
                    <a:stretch>
                      <a:fillRect/>
                    </a:stretch>
                  </pic:blipFill>
                  <pic:spPr>
                    <a:xfrm>
                      <a:off x="0" y="0"/>
                      <a:ext cx="1629410" cy="1576705"/>
                    </a:xfrm>
                    <a:prstGeom prst="rect">
                      <a:avLst/>
                    </a:prstGeom>
                    <a:noFill/>
                    <a:ln w="9525">
                      <a:noFill/>
                    </a:ln>
                  </pic:spPr>
                </pic:pic>
              </a:graphicData>
            </a:graphic>
          </wp:inline>
        </w:drawing>
      </w:r>
    </w:p>
    <w:p>
      <w:pPr>
        <w:pStyle w:val="7"/>
        <w:spacing w:line="800" w:lineRule="exact"/>
        <w:ind w:left="103" w:leftChars="49" w:firstLine="1481" w:firstLineChars="461"/>
        <w:rPr>
          <w:rFonts w:ascii="宋体" w:hAnsi="宋体" w:eastAsia="宋体" w:cs="宋体"/>
          <w:b/>
          <w:bCs/>
          <w:sz w:val="32"/>
          <w:szCs w:val="32"/>
        </w:rPr>
      </w:pPr>
      <w:r>
        <w:rPr>
          <w:rFonts w:hint="eastAsia" w:ascii="宋体" w:hAnsi="宋体" w:eastAsia="宋体" w:cs="宋体"/>
          <w:b/>
          <w:bCs/>
          <w:sz w:val="32"/>
          <w:szCs w:val="32"/>
        </w:rPr>
        <w:t xml:space="preserve">  项目编号：JNCZ(SDLD)-GK-2019-0014</w:t>
      </w:r>
    </w:p>
    <w:p>
      <w:pPr>
        <w:spacing w:line="500" w:lineRule="exact"/>
        <w:rPr>
          <w:rFonts w:ascii="宋体" w:hAnsi="宋体" w:eastAsia="宋体" w:cs="宋体"/>
          <w:sz w:val="24"/>
        </w:rPr>
      </w:pPr>
    </w:p>
    <w:p>
      <w:pPr>
        <w:spacing w:line="500" w:lineRule="exact"/>
        <w:rPr>
          <w:rFonts w:ascii="宋体" w:hAnsi="宋体" w:eastAsia="宋体" w:cs="宋体"/>
          <w:sz w:val="24"/>
        </w:rPr>
      </w:pPr>
    </w:p>
    <w:p>
      <w:pPr>
        <w:spacing w:line="500" w:lineRule="exact"/>
        <w:rPr>
          <w:rFonts w:ascii="宋体" w:hAnsi="宋体" w:eastAsia="宋体" w:cs="宋体"/>
          <w:sz w:val="24"/>
        </w:rPr>
      </w:pPr>
    </w:p>
    <w:p>
      <w:pPr>
        <w:pStyle w:val="9"/>
      </w:pPr>
    </w:p>
    <w:p>
      <w:pPr>
        <w:spacing w:line="500" w:lineRule="exact"/>
        <w:rPr>
          <w:rFonts w:ascii="宋体" w:hAnsi="宋体" w:eastAsia="宋体" w:cs="宋体"/>
          <w:sz w:val="24"/>
        </w:rPr>
      </w:pPr>
    </w:p>
    <w:p>
      <w:pPr>
        <w:spacing w:line="360" w:lineRule="auto"/>
        <w:ind w:firstLine="1508"/>
        <w:rPr>
          <w:rFonts w:ascii="宋体" w:hAnsi="宋体" w:eastAsia="宋体" w:cs="宋体"/>
          <w:b/>
          <w:bCs/>
          <w:sz w:val="32"/>
          <w:szCs w:val="32"/>
        </w:rPr>
      </w:pPr>
      <w:r>
        <w:rPr>
          <w:rFonts w:hint="eastAsia" w:ascii="宋体" w:hAnsi="宋体" w:eastAsia="宋体" w:cs="宋体"/>
          <w:b/>
          <w:bCs/>
          <w:sz w:val="32"/>
          <w:szCs w:val="32"/>
        </w:rPr>
        <w:t>招   标  人：济南市生态环境局</w:t>
      </w:r>
    </w:p>
    <w:p>
      <w:pPr>
        <w:spacing w:line="360" w:lineRule="auto"/>
        <w:ind w:firstLine="1508"/>
        <w:rPr>
          <w:rFonts w:ascii="宋体" w:hAnsi="宋体" w:eastAsia="宋体" w:cs="宋体"/>
          <w:b/>
          <w:bCs/>
          <w:sz w:val="32"/>
          <w:szCs w:val="32"/>
        </w:rPr>
      </w:pPr>
      <w:r>
        <w:rPr>
          <w:rFonts w:hint="eastAsia" w:ascii="宋体" w:hAnsi="宋体" w:eastAsia="宋体" w:cs="宋体"/>
          <w:b/>
          <w:bCs/>
          <w:sz w:val="32"/>
          <w:szCs w:val="32"/>
        </w:rPr>
        <w:t>招标代理机构：山东蓝盾招标代理有限公司</w:t>
      </w:r>
    </w:p>
    <w:p>
      <w:pPr>
        <w:spacing w:after="240" w:line="440" w:lineRule="exact"/>
        <w:jc w:val="center"/>
        <w:rPr>
          <w:rFonts w:ascii="宋体" w:hAnsi="宋体" w:eastAsia="宋体" w:cs="宋体"/>
          <w:b/>
          <w:bCs/>
          <w:sz w:val="44"/>
          <w:szCs w:val="44"/>
        </w:rPr>
      </w:pPr>
      <w:r>
        <w:rPr>
          <w:rFonts w:hint="eastAsia" w:ascii="宋体" w:hAnsi="宋体" w:eastAsia="宋体" w:cs="宋体"/>
          <w:b/>
          <w:bCs/>
          <w:sz w:val="32"/>
          <w:szCs w:val="32"/>
        </w:rPr>
        <w:t>二零一九年八月</w:t>
      </w:r>
    </w:p>
    <w:p>
      <w:pPr>
        <w:spacing w:line="500" w:lineRule="exact"/>
        <w:rPr>
          <w:rFonts w:ascii="宋体" w:hAnsi="宋体" w:eastAsia="宋体" w:cs="宋体"/>
          <w:b/>
          <w:bCs/>
          <w:sz w:val="44"/>
          <w:szCs w:val="44"/>
        </w:rPr>
      </w:pPr>
      <w:r>
        <w:rPr>
          <w:rFonts w:hint="eastAsia" w:ascii="宋体" w:hAnsi="宋体" w:eastAsia="宋体" w:cs="宋体"/>
          <w:b/>
          <w:bCs/>
          <w:sz w:val="44"/>
          <w:szCs w:val="44"/>
        </w:rPr>
        <w:t xml:space="preserve">     </w:t>
      </w:r>
    </w:p>
    <w:p>
      <w:pPr>
        <w:spacing w:line="500" w:lineRule="exact"/>
        <w:jc w:val="center"/>
        <w:rPr>
          <w:rFonts w:ascii="宋体" w:hAnsi="宋体" w:eastAsia="宋体" w:cs="宋体"/>
          <w:b/>
          <w:bCs/>
          <w:sz w:val="24"/>
        </w:rPr>
      </w:pPr>
      <w:r>
        <w:rPr>
          <w:rFonts w:hint="eastAsia" w:ascii="宋体" w:hAnsi="宋体" w:eastAsia="宋体" w:cs="宋体"/>
          <w:b/>
          <w:bCs/>
          <w:sz w:val="44"/>
          <w:szCs w:val="44"/>
        </w:rPr>
        <w:t>目   录</w:t>
      </w:r>
    </w:p>
    <w:p>
      <w:pPr>
        <w:pStyle w:val="20"/>
        <w:tabs>
          <w:tab w:val="right" w:leader="dot" w:pos="9597"/>
        </w:tabs>
        <w:rPr>
          <w:rFonts w:eastAsia="宋体" w:cs="宋体"/>
          <w:sz w:val="28"/>
          <w:szCs w:val="28"/>
        </w:rPr>
      </w:pPr>
      <w:bookmarkStart w:id="0" w:name="_Toc294124154"/>
      <w:bookmarkStart w:id="1" w:name="_Toc6949"/>
      <w:r>
        <w:rPr>
          <w:rFonts w:hint="eastAsia" w:eastAsia="宋体" w:cs="宋体"/>
          <w:sz w:val="28"/>
          <w:szCs w:val="28"/>
        </w:rPr>
        <w:fldChar w:fldCharType="begin"/>
      </w:r>
      <w:r>
        <w:rPr>
          <w:rFonts w:hint="eastAsia" w:eastAsia="宋体" w:cs="宋体"/>
          <w:sz w:val="28"/>
          <w:szCs w:val="28"/>
        </w:rPr>
        <w:instrText xml:space="preserve"> HYPERLINK \l "_Toc338209536" </w:instrText>
      </w:r>
      <w:r>
        <w:rPr>
          <w:rFonts w:hint="eastAsia" w:eastAsia="宋体" w:cs="宋体"/>
          <w:sz w:val="28"/>
          <w:szCs w:val="28"/>
        </w:rPr>
        <w:fldChar w:fldCharType="separate"/>
      </w:r>
      <w:r>
        <w:rPr>
          <w:rFonts w:hint="eastAsia" w:eastAsia="宋体" w:cs="宋体"/>
          <w:sz w:val="28"/>
          <w:szCs w:val="28"/>
        </w:rPr>
        <w:t>第一部分  招标公告</w:t>
      </w:r>
      <w:r>
        <w:rPr>
          <w:rFonts w:hint="eastAsia" w:eastAsia="宋体" w:cs="宋体"/>
          <w:sz w:val="28"/>
          <w:szCs w:val="28"/>
        </w:rPr>
        <w:tab/>
      </w:r>
      <w:r>
        <w:rPr>
          <w:rFonts w:hint="eastAsia" w:eastAsia="宋体" w:cs="宋体"/>
          <w:sz w:val="28"/>
          <w:szCs w:val="28"/>
        </w:rPr>
        <w:t>3</w:t>
      </w:r>
      <w:r>
        <w:rPr>
          <w:rFonts w:hint="eastAsia" w:eastAsia="宋体" w:cs="宋体"/>
          <w:sz w:val="28"/>
          <w:szCs w:val="28"/>
        </w:rPr>
        <w:fldChar w:fldCharType="end"/>
      </w:r>
    </w:p>
    <w:p>
      <w:pPr>
        <w:pStyle w:val="20"/>
        <w:tabs>
          <w:tab w:val="right" w:leader="dot" w:pos="9597"/>
        </w:tabs>
        <w:rPr>
          <w:rFonts w:eastAsia="宋体" w:cs="宋体"/>
          <w:sz w:val="28"/>
          <w:szCs w:val="28"/>
        </w:rPr>
      </w:pPr>
      <w:r>
        <w:fldChar w:fldCharType="begin"/>
      </w:r>
      <w:r>
        <w:instrText xml:space="preserve"> HYPERLINK \l "_Toc338209537" </w:instrText>
      </w:r>
      <w:r>
        <w:fldChar w:fldCharType="separate"/>
      </w:r>
      <w:r>
        <w:rPr>
          <w:rFonts w:hint="eastAsia" w:eastAsia="宋体" w:cs="宋体"/>
          <w:sz w:val="28"/>
          <w:szCs w:val="28"/>
        </w:rPr>
        <w:t>第二部分  投标人须知</w:t>
      </w:r>
      <w:r>
        <w:rPr>
          <w:rFonts w:hint="eastAsia" w:eastAsia="宋体" w:cs="宋体"/>
          <w:sz w:val="28"/>
          <w:szCs w:val="28"/>
        </w:rPr>
        <w:tab/>
      </w:r>
      <w:r>
        <w:rPr>
          <w:rFonts w:hint="eastAsia" w:eastAsia="宋体" w:cs="宋体"/>
          <w:sz w:val="28"/>
          <w:szCs w:val="28"/>
        </w:rPr>
        <w:t>5</w:t>
      </w:r>
      <w:r>
        <w:rPr>
          <w:rFonts w:hint="eastAsia" w:eastAsia="宋体" w:cs="宋体"/>
          <w:sz w:val="28"/>
          <w:szCs w:val="28"/>
        </w:rPr>
        <w:fldChar w:fldCharType="end"/>
      </w:r>
    </w:p>
    <w:p>
      <w:pPr>
        <w:pStyle w:val="20"/>
        <w:tabs>
          <w:tab w:val="right" w:leader="dot" w:pos="9597"/>
        </w:tabs>
        <w:rPr>
          <w:rFonts w:eastAsia="宋体" w:cs="宋体"/>
          <w:sz w:val="28"/>
          <w:szCs w:val="28"/>
        </w:rPr>
      </w:pPr>
      <w:r>
        <w:fldChar w:fldCharType="begin"/>
      </w:r>
      <w:r>
        <w:instrText xml:space="preserve"> HYPERLINK \l "_Toc338209538" </w:instrText>
      </w:r>
      <w:r>
        <w:fldChar w:fldCharType="separate"/>
      </w:r>
      <w:r>
        <w:rPr>
          <w:rFonts w:hint="eastAsia" w:eastAsia="宋体" w:cs="宋体"/>
          <w:sz w:val="28"/>
          <w:szCs w:val="28"/>
        </w:rPr>
        <w:t>第三部分  项目说明</w:t>
      </w:r>
      <w:r>
        <w:rPr>
          <w:rFonts w:hint="eastAsia" w:eastAsia="宋体" w:cs="宋体"/>
          <w:sz w:val="28"/>
          <w:szCs w:val="28"/>
        </w:rPr>
        <w:tab/>
      </w:r>
      <w:r>
        <w:rPr>
          <w:rFonts w:hint="eastAsia" w:eastAsia="宋体" w:cs="宋体"/>
          <w:sz w:val="28"/>
          <w:szCs w:val="28"/>
        </w:rPr>
        <w:t>2</w:t>
      </w:r>
      <w:r>
        <w:rPr>
          <w:rFonts w:hint="eastAsia" w:eastAsia="宋体" w:cs="宋体"/>
          <w:sz w:val="28"/>
          <w:szCs w:val="28"/>
        </w:rPr>
        <w:fldChar w:fldCharType="end"/>
      </w:r>
      <w:r>
        <w:rPr>
          <w:rFonts w:hint="eastAsia" w:eastAsia="宋体" w:cs="宋体"/>
          <w:sz w:val="28"/>
          <w:szCs w:val="28"/>
        </w:rPr>
        <w:t>1</w:t>
      </w:r>
    </w:p>
    <w:p>
      <w:pPr>
        <w:pStyle w:val="20"/>
        <w:tabs>
          <w:tab w:val="right" w:leader="dot" w:pos="9597"/>
        </w:tabs>
        <w:rPr>
          <w:rFonts w:eastAsia="宋体" w:cs="宋体"/>
          <w:sz w:val="28"/>
          <w:szCs w:val="28"/>
        </w:rPr>
      </w:pPr>
      <w:r>
        <w:fldChar w:fldCharType="begin"/>
      </w:r>
      <w:r>
        <w:instrText xml:space="preserve"> HYPERLINK \l "_Toc338209539" </w:instrText>
      </w:r>
      <w:r>
        <w:fldChar w:fldCharType="separate"/>
      </w:r>
      <w:r>
        <w:rPr>
          <w:rFonts w:hint="eastAsia" w:eastAsia="宋体" w:cs="宋体"/>
          <w:sz w:val="28"/>
          <w:szCs w:val="28"/>
        </w:rPr>
        <w:t>第四部分  开标、评标、定标</w:t>
      </w:r>
      <w:r>
        <w:rPr>
          <w:rFonts w:hint="eastAsia" w:eastAsia="宋体" w:cs="宋体"/>
          <w:sz w:val="28"/>
          <w:szCs w:val="28"/>
        </w:rPr>
        <w:tab/>
      </w:r>
      <w:r>
        <w:rPr>
          <w:rFonts w:hint="eastAsia" w:eastAsia="宋体" w:cs="宋体"/>
          <w:sz w:val="28"/>
          <w:szCs w:val="28"/>
        </w:rPr>
        <w:t>2</w:t>
      </w:r>
      <w:r>
        <w:rPr>
          <w:rFonts w:hint="eastAsia" w:eastAsia="宋体" w:cs="宋体"/>
          <w:sz w:val="28"/>
          <w:szCs w:val="28"/>
        </w:rPr>
        <w:fldChar w:fldCharType="end"/>
      </w:r>
      <w:r>
        <w:rPr>
          <w:rFonts w:hint="eastAsia" w:eastAsia="宋体" w:cs="宋体"/>
          <w:sz w:val="28"/>
          <w:szCs w:val="28"/>
        </w:rPr>
        <w:t>3</w:t>
      </w:r>
    </w:p>
    <w:p>
      <w:pPr>
        <w:pStyle w:val="20"/>
        <w:tabs>
          <w:tab w:val="right" w:leader="dot" w:pos="9597"/>
        </w:tabs>
        <w:rPr>
          <w:rFonts w:eastAsia="宋体" w:cs="宋体"/>
          <w:sz w:val="28"/>
          <w:szCs w:val="28"/>
        </w:rPr>
      </w:pPr>
      <w:r>
        <w:fldChar w:fldCharType="begin"/>
      </w:r>
      <w:r>
        <w:instrText xml:space="preserve"> HYPERLINK \l "_Toc338209540" </w:instrText>
      </w:r>
      <w:r>
        <w:fldChar w:fldCharType="separate"/>
      </w:r>
      <w:r>
        <w:rPr>
          <w:rFonts w:hint="eastAsia" w:eastAsia="宋体" w:cs="宋体"/>
          <w:sz w:val="28"/>
          <w:szCs w:val="28"/>
        </w:rPr>
        <w:t>第五部分  合同格式</w:t>
      </w:r>
      <w:r>
        <w:rPr>
          <w:rFonts w:hint="eastAsia" w:eastAsia="宋体" w:cs="宋体"/>
          <w:sz w:val="28"/>
          <w:szCs w:val="28"/>
        </w:rPr>
        <w:tab/>
      </w:r>
      <w:r>
        <w:rPr>
          <w:rFonts w:hint="eastAsia" w:eastAsia="宋体" w:cs="宋体"/>
          <w:sz w:val="28"/>
          <w:szCs w:val="28"/>
        </w:rPr>
        <w:t>2</w:t>
      </w:r>
      <w:r>
        <w:rPr>
          <w:rFonts w:hint="eastAsia" w:eastAsia="宋体" w:cs="宋体"/>
          <w:sz w:val="28"/>
          <w:szCs w:val="28"/>
        </w:rPr>
        <w:fldChar w:fldCharType="end"/>
      </w:r>
      <w:r>
        <w:rPr>
          <w:rFonts w:hint="eastAsia" w:eastAsia="宋体" w:cs="宋体"/>
          <w:sz w:val="28"/>
          <w:szCs w:val="28"/>
        </w:rPr>
        <w:t>8</w:t>
      </w:r>
    </w:p>
    <w:p>
      <w:pPr>
        <w:pStyle w:val="20"/>
        <w:tabs>
          <w:tab w:val="right" w:leader="dot" w:pos="9597"/>
        </w:tabs>
        <w:rPr>
          <w:rFonts w:eastAsia="宋体" w:cs="宋体"/>
          <w:sz w:val="28"/>
          <w:szCs w:val="28"/>
        </w:rPr>
      </w:pPr>
      <w:r>
        <w:fldChar w:fldCharType="begin"/>
      </w:r>
      <w:r>
        <w:instrText xml:space="preserve"> HYPERLINK \l "_Toc338209541" </w:instrText>
      </w:r>
      <w:r>
        <w:fldChar w:fldCharType="separate"/>
      </w:r>
      <w:r>
        <w:rPr>
          <w:rFonts w:hint="eastAsia" w:eastAsia="宋体" w:cs="宋体"/>
          <w:sz w:val="28"/>
          <w:szCs w:val="28"/>
        </w:rPr>
        <w:t>第六部分  投标文件格式</w:t>
      </w:r>
      <w:r>
        <w:rPr>
          <w:rFonts w:hint="eastAsia" w:eastAsia="宋体" w:cs="宋体"/>
          <w:sz w:val="28"/>
          <w:szCs w:val="28"/>
        </w:rPr>
        <w:tab/>
      </w:r>
      <w:r>
        <w:rPr>
          <w:rFonts w:hint="eastAsia" w:eastAsia="宋体" w:cs="宋体"/>
          <w:sz w:val="28"/>
          <w:szCs w:val="28"/>
        </w:rPr>
        <w:t>3</w:t>
      </w:r>
      <w:r>
        <w:rPr>
          <w:rFonts w:hint="eastAsia" w:eastAsia="宋体" w:cs="宋体"/>
          <w:sz w:val="28"/>
          <w:szCs w:val="28"/>
        </w:rPr>
        <w:fldChar w:fldCharType="end"/>
      </w:r>
      <w:r>
        <w:rPr>
          <w:rFonts w:hint="eastAsia" w:eastAsia="宋体" w:cs="宋体"/>
          <w:sz w:val="28"/>
          <w:szCs w:val="28"/>
        </w:rPr>
        <w:t>2</w:t>
      </w:r>
    </w:p>
    <w:p>
      <w:pPr>
        <w:pStyle w:val="20"/>
        <w:tabs>
          <w:tab w:val="right" w:leader="dot" w:pos="9597"/>
        </w:tabs>
        <w:rPr>
          <w:rFonts w:eastAsia="宋体" w:cs="宋体"/>
          <w:sz w:val="28"/>
          <w:szCs w:val="28"/>
        </w:rPr>
      </w:pPr>
      <w:r>
        <w:fldChar w:fldCharType="begin"/>
      </w:r>
      <w:r>
        <w:instrText xml:space="preserve"> HYPERLINK \l "_Toc338209542" </w:instrText>
      </w:r>
      <w:r>
        <w:fldChar w:fldCharType="separate"/>
      </w:r>
      <w:r>
        <w:rPr>
          <w:rFonts w:hint="eastAsia" w:eastAsia="宋体" w:cs="宋体"/>
          <w:sz w:val="28"/>
          <w:szCs w:val="28"/>
        </w:rPr>
        <w:t>第七部分  评分标准</w:t>
      </w:r>
      <w:r>
        <w:rPr>
          <w:rFonts w:hint="eastAsia" w:eastAsia="宋体" w:cs="宋体"/>
          <w:sz w:val="28"/>
          <w:szCs w:val="28"/>
        </w:rPr>
        <w:tab/>
      </w:r>
      <w:r>
        <w:rPr>
          <w:rFonts w:hint="eastAsia" w:eastAsia="宋体" w:cs="宋体"/>
          <w:sz w:val="28"/>
          <w:szCs w:val="28"/>
        </w:rPr>
        <w:t>4</w:t>
      </w:r>
      <w:r>
        <w:rPr>
          <w:rFonts w:hint="eastAsia" w:eastAsia="宋体" w:cs="宋体"/>
          <w:sz w:val="28"/>
          <w:szCs w:val="28"/>
        </w:rPr>
        <w:fldChar w:fldCharType="end"/>
      </w:r>
      <w:r>
        <w:rPr>
          <w:rFonts w:hint="eastAsia" w:eastAsia="宋体" w:cs="宋体"/>
          <w:sz w:val="28"/>
          <w:szCs w:val="28"/>
        </w:rPr>
        <w:t>5</w:t>
      </w:r>
    </w:p>
    <w:p>
      <w:pPr>
        <w:pStyle w:val="20"/>
        <w:tabs>
          <w:tab w:val="right" w:leader="dot" w:pos="9597"/>
        </w:tabs>
        <w:rPr>
          <w:rFonts w:eastAsia="宋体" w:cs="宋体"/>
          <w:sz w:val="28"/>
          <w:szCs w:val="28"/>
        </w:rPr>
      </w:pPr>
      <w:r>
        <w:fldChar w:fldCharType="begin"/>
      </w:r>
      <w:r>
        <w:instrText xml:space="preserve"> HYPERLINK \l "_Toc338209543" </w:instrText>
      </w:r>
      <w:r>
        <w:fldChar w:fldCharType="separate"/>
      </w:r>
      <w:r>
        <w:rPr>
          <w:rFonts w:hint="eastAsia" w:eastAsia="宋体" w:cs="宋体"/>
          <w:sz w:val="28"/>
          <w:szCs w:val="28"/>
        </w:rPr>
        <w:t>第八部分 封面及密封包格式</w:t>
      </w:r>
      <w:r>
        <w:rPr>
          <w:rFonts w:hint="eastAsia" w:eastAsia="宋体" w:cs="宋体"/>
          <w:sz w:val="28"/>
          <w:szCs w:val="28"/>
        </w:rPr>
        <w:tab/>
      </w:r>
      <w:r>
        <w:rPr>
          <w:rFonts w:hint="eastAsia" w:eastAsia="宋体" w:cs="宋体"/>
          <w:sz w:val="28"/>
          <w:szCs w:val="28"/>
        </w:rPr>
        <w:fldChar w:fldCharType="end"/>
      </w:r>
      <w:r>
        <w:rPr>
          <w:rFonts w:hint="eastAsia" w:eastAsia="宋体" w:cs="宋体"/>
          <w:sz w:val="28"/>
          <w:szCs w:val="28"/>
        </w:rPr>
        <w:t>49</w:t>
      </w:r>
    </w:p>
    <w:p>
      <w:pPr>
        <w:spacing w:line="360" w:lineRule="auto"/>
        <w:jc w:val="center"/>
        <w:outlineLvl w:val="0"/>
        <w:rPr>
          <w:rFonts w:ascii="宋体" w:hAnsi="宋体" w:eastAsia="宋体" w:cs="宋体"/>
          <w:b/>
          <w:bCs/>
          <w:sz w:val="36"/>
          <w:szCs w:val="36"/>
        </w:rPr>
      </w:pPr>
    </w:p>
    <w:p>
      <w:pPr>
        <w:spacing w:line="360" w:lineRule="auto"/>
        <w:jc w:val="center"/>
        <w:outlineLvl w:val="0"/>
        <w:rPr>
          <w:rFonts w:ascii="宋体" w:hAnsi="宋体" w:eastAsia="宋体" w:cs="宋体"/>
          <w:b/>
          <w:bCs/>
          <w:sz w:val="36"/>
          <w:szCs w:val="36"/>
        </w:rPr>
      </w:pPr>
    </w:p>
    <w:p>
      <w:pPr>
        <w:spacing w:line="360" w:lineRule="auto"/>
        <w:jc w:val="center"/>
        <w:outlineLvl w:val="0"/>
        <w:rPr>
          <w:rFonts w:ascii="宋体" w:hAnsi="宋体" w:eastAsia="宋体" w:cs="宋体"/>
          <w:b/>
          <w:bCs/>
          <w:sz w:val="36"/>
          <w:szCs w:val="36"/>
        </w:rPr>
      </w:pPr>
    </w:p>
    <w:p>
      <w:pPr>
        <w:spacing w:line="360" w:lineRule="auto"/>
        <w:jc w:val="center"/>
        <w:outlineLvl w:val="0"/>
        <w:rPr>
          <w:rFonts w:ascii="宋体" w:hAnsi="宋体" w:eastAsia="宋体" w:cs="宋体"/>
          <w:b/>
          <w:bCs/>
          <w:sz w:val="36"/>
          <w:szCs w:val="36"/>
        </w:rPr>
      </w:pPr>
    </w:p>
    <w:p>
      <w:pPr>
        <w:spacing w:line="360" w:lineRule="auto"/>
        <w:jc w:val="center"/>
        <w:outlineLvl w:val="0"/>
        <w:rPr>
          <w:rFonts w:ascii="宋体" w:hAnsi="宋体" w:eastAsia="宋体" w:cs="宋体"/>
          <w:b/>
          <w:bCs/>
          <w:sz w:val="36"/>
          <w:szCs w:val="36"/>
        </w:rPr>
      </w:pPr>
    </w:p>
    <w:p>
      <w:pPr>
        <w:spacing w:line="360" w:lineRule="auto"/>
        <w:jc w:val="center"/>
        <w:outlineLvl w:val="0"/>
        <w:rPr>
          <w:rFonts w:ascii="宋体" w:hAnsi="宋体" w:eastAsia="宋体" w:cs="宋体"/>
          <w:b/>
          <w:bCs/>
          <w:sz w:val="36"/>
          <w:szCs w:val="36"/>
        </w:rPr>
      </w:pPr>
    </w:p>
    <w:p>
      <w:pPr>
        <w:spacing w:line="360" w:lineRule="auto"/>
        <w:jc w:val="center"/>
        <w:outlineLvl w:val="0"/>
        <w:rPr>
          <w:rFonts w:ascii="宋体" w:hAnsi="宋体" w:eastAsia="宋体" w:cs="宋体"/>
          <w:b/>
          <w:bCs/>
          <w:sz w:val="36"/>
          <w:szCs w:val="36"/>
        </w:rPr>
      </w:pPr>
    </w:p>
    <w:p>
      <w:pPr>
        <w:spacing w:line="360" w:lineRule="auto"/>
        <w:jc w:val="center"/>
        <w:outlineLvl w:val="0"/>
        <w:rPr>
          <w:rFonts w:ascii="宋体" w:hAnsi="宋体" w:eastAsia="宋体" w:cs="宋体"/>
          <w:b/>
          <w:bCs/>
          <w:sz w:val="36"/>
          <w:szCs w:val="36"/>
        </w:rPr>
      </w:pPr>
    </w:p>
    <w:p>
      <w:pPr>
        <w:spacing w:line="360" w:lineRule="auto"/>
        <w:outlineLvl w:val="0"/>
        <w:rPr>
          <w:rFonts w:ascii="宋体" w:hAnsi="宋体" w:eastAsia="宋体" w:cs="宋体"/>
          <w:b/>
          <w:bCs/>
          <w:sz w:val="36"/>
          <w:szCs w:val="36"/>
        </w:rPr>
      </w:pPr>
    </w:p>
    <w:p>
      <w:pPr>
        <w:spacing w:line="360" w:lineRule="auto"/>
        <w:outlineLvl w:val="0"/>
        <w:rPr>
          <w:rFonts w:ascii="宋体" w:hAnsi="宋体" w:eastAsia="宋体" w:cs="宋体"/>
          <w:b/>
          <w:bCs/>
          <w:sz w:val="36"/>
          <w:szCs w:val="36"/>
        </w:rPr>
      </w:pPr>
    </w:p>
    <w:p>
      <w:pPr>
        <w:pStyle w:val="3"/>
        <w:rPr>
          <w:rFonts w:ascii="宋体" w:hAnsi="宋体" w:eastAsia="宋体" w:cs="宋体"/>
          <w:sz w:val="36"/>
          <w:szCs w:val="36"/>
        </w:rPr>
        <w:sectPr>
          <w:headerReference r:id="rId4" w:type="first"/>
          <w:footerReference r:id="rId6" w:type="first"/>
          <w:headerReference r:id="rId3" w:type="default"/>
          <w:footerReference r:id="rId5" w:type="default"/>
          <w:pgSz w:w="11907" w:h="16840"/>
          <w:pgMar w:top="1985" w:right="1169" w:bottom="1418" w:left="1418" w:header="851" w:footer="851" w:gutter="0"/>
          <w:cols w:space="720" w:num="1"/>
          <w:titlePg/>
          <w:docGrid w:type="lines" w:linePitch="290" w:charSpace="-3931"/>
        </w:sectPr>
      </w:pPr>
    </w:p>
    <w:p/>
    <w:p>
      <w:pPr>
        <w:spacing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第一部分 招标公告</w:t>
      </w:r>
      <w:bookmarkEnd w:id="0"/>
      <w:bookmarkEnd w:id="1"/>
    </w:p>
    <w:p>
      <w:pPr>
        <w:spacing w:line="360" w:lineRule="auto"/>
        <w:jc w:val="center"/>
        <w:rPr>
          <w:rFonts w:ascii="宋体" w:hAnsi="宋体" w:cs="宋体"/>
          <w:bCs/>
          <w:spacing w:val="-10"/>
          <w:kern w:val="0"/>
          <w:sz w:val="24"/>
        </w:rPr>
      </w:pPr>
      <w:bookmarkStart w:id="2" w:name="_Toc294124156"/>
      <w:bookmarkStart w:id="3" w:name="_Toc13352"/>
      <w:r>
        <w:rPr>
          <w:rFonts w:hint="eastAsia" w:ascii="宋体" w:hAnsi="宋体" w:cs="宋体"/>
          <w:b/>
          <w:bCs/>
          <w:sz w:val="32"/>
          <w:szCs w:val="32"/>
        </w:rPr>
        <w:t>济南市生态环境局市控重点河流断面水质在线监测建设（一期）服务采购公告</w:t>
      </w:r>
    </w:p>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一、采购人：济南市生态环境局</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  址：济南市历下区龙奥大厦 </w:t>
      </w:r>
    </w:p>
    <w:p>
      <w:pPr>
        <w:widowControl/>
        <w:adjustRightInd w:val="0"/>
        <w:snapToGrid w:val="0"/>
        <w:spacing w:line="360" w:lineRule="auto"/>
        <w:ind w:firstLine="480" w:firstLineChars="200"/>
        <w:jc w:val="left"/>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联系方式：0531-66608617</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采购代理机构：山东蓝盾招标代理有限公司</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地  址：</w:t>
      </w:r>
      <w:r>
        <w:rPr>
          <w:rFonts w:hint="eastAsia" w:ascii="宋体" w:hAnsi="宋体" w:eastAsia="宋体" w:cs="宋体"/>
          <w:sz w:val="24"/>
          <w:szCs w:val="24"/>
        </w:rPr>
        <w:t>山东省济南市高新区工业南路59号中铁财智中心6号楼15楼</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联系方式：</w:t>
      </w:r>
      <w:r>
        <w:rPr>
          <w:rFonts w:hint="eastAsia" w:ascii="宋体" w:hAnsi="宋体" w:eastAsia="宋体" w:cs="宋体"/>
          <w:kern w:val="0"/>
          <w:sz w:val="24"/>
          <w:szCs w:val="24"/>
        </w:rPr>
        <w:t>0531-88809762</w:t>
      </w:r>
    </w:p>
    <w:p>
      <w:pPr>
        <w:widowControl/>
        <w:adjustRightInd w:val="0"/>
        <w:snapToGri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rPr>
        <w:t>二、采购项目名称：</w:t>
      </w:r>
      <w:r>
        <w:rPr>
          <w:rFonts w:hint="eastAsia" w:ascii="宋体" w:hAnsi="宋体" w:eastAsia="宋体" w:cs="宋体"/>
          <w:sz w:val="24"/>
          <w:szCs w:val="24"/>
        </w:rPr>
        <w:t>济南市生态环境局市控重点河流断面水质在线监测建设（一期）服务采购项目</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采购项目编号：JNCZ(SDLD)-GK-2019-0014</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采购项目分包情况：</w:t>
      </w:r>
      <w:r>
        <w:rPr>
          <w:rFonts w:hint="eastAsia" w:ascii="宋体" w:hAnsi="宋体" w:eastAsia="宋体" w:cs="宋体"/>
          <w:color w:val="auto"/>
          <w:kern w:val="0"/>
          <w:sz w:val="24"/>
          <w:szCs w:val="24"/>
          <w:lang w:val="zh-CN"/>
        </w:rPr>
        <w:t xml:space="preserve"> </w:t>
      </w:r>
    </w:p>
    <w:tbl>
      <w:tblPr>
        <w:tblStyle w:val="26"/>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336"/>
        <w:gridCol w:w="1148"/>
        <w:gridCol w:w="1025"/>
        <w:gridCol w:w="4232"/>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674"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包号</w:t>
            </w:r>
          </w:p>
        </w:tc>
        <w:tc>
          <w:tcPr>
            <w:tcW w:w="1336"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包组内容</w:t>
            </w:r>
          </w:p>
        </w:tc>
        <w:tc>
          <w:tcPr>
            <w:tcW w:w="1148"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单个金额（万元）</w:t>
            </w:r>
          </w:p>
        </w:tc>
        <w:tc>
          <w:tcPr>
            <w:tcW w:w="1025"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4232"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供应商资格要求</w:t>
            </w:r>
          </w:p>
        </w:tc>
        <w:tc>
          <w:tcPr>
            <w:tcW w:w="1285"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合计金额（万元）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674"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lang w:val="zh-CN"/>
              </w:rPr>
              <w:t>A包</w:t>
            </w:r>
          </w:p>
        </w:tc>
        <w:tc>
          <w:tcPr>
            <w:tcW w:w="1336"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lang w:val="zh-CN"/>
              </w:rPr>
              <w:t>BO模式的2个国标法小型站</w:t>
            </w:r>
          </w:p>
        </w:tc>
        <w:tc>
          <w:tcPr>
            <w:tcW w:w="1148"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25/年</w:t>
            </w:r>
          </w:p>
        </w:tc>
        <w:tc>
          <w:tcPr>
            <w:tcW w:w="1025"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23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1、供应商应符合《中华人民共和国政府采购法》第二十二条规定且应为未被列入信用中国网站（www.creditchina.gov.cn ）、中国政府采购网(www.ccgp.gov.cn)、信用山东（www.creditsd.gov.cn ）等渠道信用记录失信被执行人、重大税收违法案件当事人名单、政府采购严重违法失信行为记录名单；（截图报名时须携带）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2、供应商须为在中华人民共和国境内登记注册，具备独立法人资格或其依法设立的</w:t>
            </w:r>
            <w:r>
              <w:rPr>
                <w:rFonts w:hint="eastAsia" w:ascii="宋体" w:hAnsi="宋体" w:eastAsia="宋体" w:cs="宋体"/>
                <w:color w:val="auto"/>
                <w:sz w:val="24"/>
                <w:szCs w:val="24"/>
                <w:lang w:eastAsia="zh-CN"/>
              </w:rPr>
              <w:t>其他组织</w:t>
            </w:r>
            <w:r>
              <w:rPr>
                <w:rFonts w:hint="eastAsia" w:ascii="宋体" w:hAnsi="宋体" w:eastAsia="宋体" w:cs="宋体"/>
                <w:color w:val="auto"/>
                <w:sz w:val="24"/>
                <w:szCs w:val="24"/>
              </w:rPr>
              <w:t>,能够提供本次所采购服务能力的供应商；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、本项目不接受联合体投标</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4、法律法规规定的其他条款。</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5、本项目不兼投，供应商只能选择一个标包投标。</w:t>
            </w:r>
          </w:p>
        </w:tc>
        <w:tc>
          <w:tcPr>
            <w:tcW w:w="1285"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74"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lang w:val="zh-CN"/>
              </w:rPr>
              <w:t>B包</w:t>
            </w:r>
          </w:p>
        </w:tc>
        <w:tc>
          <w:tcPr>
            <w:tcW w:w="1336"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lang w:val="zh-CN"/>
              </w:rPr>
              <w:t>BO模式的10个非国标法微型站</w:t>
            </w:r>
          </w:p>
        </w:tc>
        <w:tc>
          <w:tcPr>
            <w:tcW w:w="1148"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12.5/年</w:t>
            </w:r>
          </w:p>
        </w:tc>
        <w:tc>
          <w:tcPr>
            <w:tcW w:w="1025"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4232" w:type="dxa"/>
            <w:vMerge w:val="continue"/>
            <w:vAlign w:val="center"/>
          </w:tcPr>
          <w:p>
            <w:pPr>
              <w:widowControl/>
              <w:adjustRightInd w:val="0"/>
              <w:snapToGrid w:val="0"/>
              <w:jc w:val="center"/>
              <w:rPr>
                <w:rFonts w:hint="eastAsia" w:ascii="宋体" w:hAnsi="宋体" w:eastAsia="宋体" w:cs="宋体"/>
                <w:kern w:val="0"/>
                <w:sz w:val="24"/>
                <w:szCs w:val="24"/>
              </w:rPr>
            </w:pPr>
          </w:p>
        </w:tc>
        <w:tc>
          <w:tcPr>
            <w:tcW w:w="1285"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125/年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674"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lang w:val="zh-CN"/>
              </w:rPr>
              <w:t>C包</w:t>
            </w:r>
          </w:p>
        </w:tc>
        <w:tc>
          <w:tcPr>
            <w:tcW w:w="1336"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lang w:val="zh-CN"/>
              </w:rPr>
              <w:t>2个国标法小型站和10个非国标法微型站的质控管理</w:t>
            </w:r>
          </w:p>
        </w:tc>
        <w:tc>
          <w:tcPr>
            <w:tcW w:w="1148"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2.5/年</w:t>
            </w:r>
          </w:p>
        </w:tc>
        <w:tc>
          <w:tcPr>
            <w:tcW w:w="1025"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4232" w:type="dxa"/>
            <w:vMerge w:val="continue"/>
            <w:vAlign w:val="center"/>
          </w:tcPr>
          <w:p>
            <w:pPr>
              <w:widowControl/>
              <w:adjustRightInd w:val="0"/>
              <w:snapToGrid w:val="0"/>
              <w:jc w:val="center"/>
              <w:rPr>
                <w:rFonts w:hint="eastAsia" w:ascii="宋体" w:hAnsi="宋体" w:eastAsia="宋体" w:cs="宋体"/>
                <w:kern w:val="0"/>
                <w:sz w:val="24"/>
                <w:szCs w:val="24"/>
              </w:rPr>
            </w:pPr>
          </w:p>
        </w:tc>
        <w:tc>
          <w:tcPr>
            <w:tcW w:w="1285" w:type="dxa"/>
            <w:vAlign w:val="center"/>
          </w:tcPr>
          <w:p>
            <w:pPr>
              <w:widowControl/>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30/年</w:t>
            </w:r>
          </w:p>
        </w:tc>
      </w:tr>
    </w:tbl>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三、获取招标文件</w:t>
      </w:r>
    </w:p>
    <w:p>
      <w:pPr>
        <w:widowControl/>
        <w:adjustRightInd w:val="0"/>
        <w:snapToGrid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1.时间：</w:t>
      </w:r>
      <w:r>
        <w:rPr>
          <w:rFonts w:hint="eastAsia" w:ascii="宋体" w:hAnsi="宋体" w:eastAsia="宋体" w:cs="宋体"/>
          <w:kern w:val="0"/>
          <w:sz w:val="24"/>
          <w:szCs w:val="24"/>
          <w:u w:val="single"/>
        </w:rPr>
        <w:t>2019</w:t>
      </w:r>
      <w:r>
        <w:rPr>
          <w:rFonts w:hint="eastAsia" w:ascii="宋体" w:hAnsi="宋体" w:eastAsia="宋体" w:cs="宋体"/>
          <w:kern w:val="0"/>
          <w:sz w:val="24"/>
          <w:szCs w:val="24"/>
        </w:rPr>
        <w:t>年</w:t>
      </w:r>
      <w:r>
        <w:rPr>
          <w:rFonts w:hint="eastAsia" w:ascii="宋体" w:hAnsi="宋体" w:eastAsia="宋体" w:cs="宋体"/>
          <w:kern w:val="0"/>
          <w:sz w:val="24"/>
          <w:szCs w:val="24"/>
          <w:u w:val="single"/>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u w:val="single"/>
        </w:rPr>
        <w:t>09</w:t>
      </w:r>
      <w:r>
        <w:rPr>
          <w:rFonts w:hint="eastAsia" w:ascii="宋体" w:hAnsi="宋体" w:eastAsia="宋体" w:cs="宋体"/>
          <w:kern w:val="0"/>
          <w:sz w:val="24"/>
          <w:szCs w:val="24"/>
        </w:rPr>
        <w:t>时</w:t>
      </w:r>
      <w:r>
        <w:rPr>
          <w:rFonts w:hint="eastAsia" w:ascii="宋体" w:hAnsi="宋体" w:eastAsia="宋体" w:cs="宋体"/>
          <w:kern w:val="0"/>
          <w:sz w:val="24"/>
          <w:szCs w:val="24"/>
          <w:u w:val="single"/>
        </w:rPr>
        <w:t>00</w:t>
      </w:r>
      <w:r>
        <w:rPr>
          <w:rFonts w:hint="eastAsia" w:ascii="宋体" w:hAnsi="宋体" w:eastAsia="宋体" w:cs="宋体"/>
          <w:kern w:val="0"/>
          <w:sz w:val="24"/>
          <w:szCs w:val="24"/>
        </w:rPr>
        <w:t>分至</w:t>
      </w:r>
      <w:r>
        <w:rPr>
          <w:rFonts w:hint="eastAsia" w:ascii="宋体" w:hAnsi="宋体" w:eastAsia="宋体" w:cs="宋体"/>
          <w:kern w:val="0"/>
          <w:sz w:val="24"/>
          <w:szCs w:val="24"/>
          <w:u w:val="single"/>
        </w:rPr>
        <w:t>2019</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lang w:val="en-US" w:eastAsia="zh-CN"/>
        </w:rPr>
        <w:t>10</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u w:val="single"/>
        </w:rPr>
        <w:t>16</w:t>
      </w:r>
      <w:r>
        <w:rPr>
          <w:rFonts w:hint="eastAsia" w:ascii="宋体" w:hAnsi="宋体" w:eastAsia="宋体" w:cs="宋体"/>
          <w:kern w:val="0"/>
          <w:sz w:val="24"/>
          <w:szCs w:val="24"/>
        </w:rPr>
        <w:t>时</w:t>
      </w:r>
      <w:r>
        <w:rPr>
          <w:rFonts w:hint="eastAsia" w:ascii="宋体" w:hAnsi="宋体" w:eastAsia="宋体" w:cs="宋体"/>
          <w:kern w:val="0"/>
          <w:sz w:val="24"/>
          <w:szCs w:val="24"/>
          <w:u w:val="single"/>
        </w:rPr>
        <w:t>00</w:t>
      </w:r>
      <w:r>
        <w:rPr>
          <w:rFonts w:hint="eastAsia" w:ascii="宋体" w:hAnsi="宋体" w:eastAsia="宋体" w:cs="宋体"/>
          <w:kern w:val="0"/>
          <w:sz w:val="24"/>
          <w:szCs w:val="24"/>
        </w:rPr>
        <w:t>分（北京时间，法定节假日除外）</w:t>
      </w:r>
    </w:p>
    <w:p>
      <w:pPr>
        <w:widowControl/>
        <w:adjustRightInd w:val="0"/>
        <w:snapToGrid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2.地点：山东省济南市高新区工业南路59号中铁财智中心6号楼15楼</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kern w:val="0"/>
          <w:sz w:val="24"/>
          <w:szCs w:val="24"/>
        </w:rPr>
        <w:t>3.方式：</w:t>
      </w:r>
      <w:r>
        <w:rPr>
          <w:rFonts w:hint="eastAsia" w:ascii="宋体" w:hAnsi="宋体" w:eastAsia="宋体" w:cs="宋体"/>
          <w:kern w:val="0"/>
          <w:sz w:val="24"/>
          <w:szCs w:val="24"/>
          <w:shd w:val="clear" w:color="auto" w:fill="FFFFFF"/>
        </w:rPr>
        <w:t>根据济南市政府采购有关规定，凡有意参加本次政府采购的投标人必须在济南市公共资源交易中心（http://jnggzy.jinan.gov.cn/</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"https://119.164.253.173/）进行注册并报名。注册并报名成功后，再携带以下证件到代理机构进行现场报名。" </w:instrText>
      </w:r>
      <w:r>
        <w:rPr>
          <w:rFonts w:hint="eastAsia" w:ascii="宋体" w:hAnsi="宋体" w:eastAsia="宋体" w:cs="宋体"/>
          <w:sz w:val="24"/>
          <w:szCs w:val="24"/>
        </w:rPr>
        <w:fldChar w:fldCharType="separate"/>
      </w:r>
      <w:r>
        <w:rPr>
          <w:rFonts w:hint="eastAsia" w:ascii="宋体" w:hAnsi="宋体" w:eastAsia="宋体" w:cs="宋体"/>
          <w:kern w:val="0"/>
          <w:sz w:val="24"/>
          <w:szCs w:val="24"/>
          <w:shd w:val="clear" w:color="auto" w:fill="FFFFFF"/>
        </w:rPr>
        <w:t>）进行注册并网上报名。（报名时需携带注册成功后的登录界面）注册成功并网上报名成功后，再携带以下证件到代理机构进行现场报名。</w:t>
      </w:r>
      <w:r>
        <w:rPr>
          <w:rFonts w:hint="eastAsia" w:ascii="宋体" w:hAnsi="宋体" w:eastAsia="宋体" w:cs="宋体"/>
          <w:kern w:val="0"/>
          <w:sz w:val="24"/>
          <w:szCs w:val="24"/>
          <w:shd w:val="clear" w:color="auto" w:fill="FFFFFF"/>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"https://119.164.253.173/）进行注册并报名。注册并报名成功后，再携带以下证件到代理机构进行现场报名。" </w:instrText>
      </w:r>
      <w:r>
        <w:rPr>
          <w:rFonts w:hint="eastAsia" w:ascii="宋体" w:hAnsi="宋体" w:eastAsia="宋体" w:cs="宋体"/>
          <w:sz w:val="24"/>
          <w:szCs w:val="24"/>
        </w:rPr>
        <w:fldChar w:fldCharType="separate"/>
      </w:r>
      <w:r>
        <w:rPr>
          <w:rFonts w:hint="eastAsia" w:ascii="宋体" w:hAnsi="宋体" w:eastAsia="宋体" w:cs="宋体"/>
          <w:sz w:val="24"/>
          <w:szCs w:val="24"/>
        </w:rPr>
        <w:t>请携带以下证件到代理机构进行现场报名。</w:t>
      </w:r>
      <w:r>
        <w:rPr>
          <w:rFonts w:hint="eastAsia" w:ascii="宋体" w:hAnsi="宋体" w:eastAsia="宋体" w:cs="宋体"/>
          <w:sz w:val="24"/>
          <w:szCs w:val="24"/>
        </w:rPr>
        <w:fldChar w:fldCharType="end"/>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（1）有效的企业法人营业执照副本（三证合一）；（2）网站信用查询截图；（3）法人授权委托书及受委托人身份证。</w:t>
      </w:r>
    </w:p>
    <w:p>
      <w:pPr>
        <w:widowControl/>
        <w:spacing w:line="360" w:lineRule="auto"/>
        <w:ind w:firstLine="480" w:firstLineChars="200"/>
        <w:jc w:val="left"/>
        <w:rPr>
          <w:rFonts w:hint="eastAsia" w:ascii="宋体" w:hAnsi="宋体" w:eastAsia="宋体" w:cs="宋体"/>
          <w:kern w:val="0"/>
          <w:sz w:val="24"/>
          <w:szCs w:val="24"/>
          <w:u w:val="single"/>
        </w:rPr>
      </w:pPr>
      <w:r>
        <w:rPr>
          <w:rStyle w:val="28"/>
          <w:rFonts w:hint="eastAsia" w:ascii="宋体" w:hAnsi="宋体" w:eastAsia="宋体" w:cs="宋体"/>
          <w:kern w:val="0"/>
          <w:sz w:val="24"/>
          <w:szCs w:val="24"/>
        </w:rPr>
        <w:t>以上证件均需提供复印件一份（复印件加盖公章）。报名时提交的资料查验不代表资格审查的最终通过或合格。</w:t>
      </w:r>
    </w:p>
    <w:p>
      <w:pPr>
        <w:widowControl/>
        <w:adjustRightInd w:val="0"/>
        <w:snapToGrid w:val="0"/>
        <w:spacing w:line="360" w:lineRule="auto"/>
        <w:ind w:firstLine="240" w:firstLineChars="1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4.售价：500元/份，售后不退。</w:t>
      </w:r>
    </w:p>
    <w:p>
      <w:pPr>
        <w:widowControl/>
        <w:adjustRightInd w:val="0"/>
        <w:snapToGrid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四、公告期限：</w:t>
      </w:r>
      <w:r>
        <w:rPr>
          <w:rFonts w:hint="eastAsia" w:ascii="宋体" w:hAnsi="宋体" w:eastAsia="宋体" w:cs="宋体"/>
          <w:kern w:val="0"/>
          <w:sz w:val="24"/>
          <w:szCs w:val="24"/>
          <w:u w:val="single"/>
        </w:rPr>
        <w:t>2019</w:t>
      </w:r>
      <w:r>
        <w:rPr>
          <w:rFonts w:hint="eastAsia" w:ascii="宋体" w:hAnsi="宋体" w:eastAsia="宋体" w:cs="宋体"/>
          <w:kern w:val="0"/>
          <w:sz w:val="24"/>
          <w:szCs w:val="24"/>
        </w:rPr>
        <w:t>年</w:t>
      </w:r>
      <w:r>
        <w:rPr>
          <w:rFonts w:hint="eastAsia" w:ascii="宋体" w:hAnsi="宋体" w:eastAsia="宋体" w:cs="宋体"/>
          <w:kern w:val="0"/>
          <w:sz w:val="24"/>
          <w:szCs w:val="24"/>
          <w:u w:val="single"/>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 至2019年</w:t>
      </w:r>
      <w:r>
        <w:rPr>
          <w:rFonts w:hint="eastAsia" w:ascii="宋体" w:hAnsi="宋体" w:eastAsia="宋体" w:cs="宋体"/>
          <w:kern w:val="0"/>
          <w:sz w:val="24"/>
          <w:szCs w:val="24"/>
          <w:u w:val="single"/>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widowControl/>
        <w:adjustRightInd w:val="0"/>
        <w:snapToGrid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五、递交响应文件时间及地点</w:t>
      </w:r>
    </w:p>
    <w:p>
      <w:pPr>
        <w:widowControl/>
        <w:adjustRightInd w:val="0"/>
        <w:snapToGrid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时间：</w:t>
      </w:r>
      <w:r>
        <w:rPr>
          <w:rFonts w:hint="eastAsia" w:ascii="宋体" w:hAnsi="宋体" w:eastAsia="宋体" w:cs="宋体"/>
          <w:kern w:val="0"/>
          <w:sz w:val="24"/>
          <w:szCs w:val="24"/>
        </w:rPr>
        <w:t>2019年</w:t>
      </w:r>
      <w:r>
        <w:rPr>
          <w:rFonts w:hint="eastAsia" w:ascii="宋体" w:hAnsi="宋体" w:eastAsia="宋体" w:cs="宋体"/>
          <w:kern w:val="0"/>
          <w:sz w:val="24"/>
          <w:szCs w:val="24"/>
          <w:u w:val="single"/>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u w:val="single"/>
        </w:rPr>
        <w:t>13</w:t>
      </w:r>
      <w:r>
        <w:rPr>
          <w:rFonts w:hint="eastAsia" w:ascii="宋体" w:hAnsi="宋体" w:eastAsia="宋体" w:cs="宋体"/>
          <w:kern w:val="0"/>
          <w:sz w:val="24"/>
          <w:szCs w:val="24"/>
        </w:rPr>
        <w:t>时</w:t>
      </w:r>
      <w:r>
        <w:rPr>
          <w:rFonts w:hint="eastAsia" w:ascii="宋体" w:hAnsi="宋体" w:eastAsia="宋体" w:cs="宋体"/>
          <w:kern w:val="0"/>
          <w:sz w:val="24"/>
          <w:szCs w:val="24"/>
          <w:u w:val="single"/>
        </w:rPr>
        <w:t>00</w:t>
      </w:r>
      <w:r>
        <w:rPr>
          <w:rFonts w:hint="eastAsia" w:ascii="宋体" w:hAnsi="宋体" w:eastAsia="宋体" w:cs="宋体"/>
          <w:kern w:val="0"/>
          <w:sz w:val="24"/>
          <w:szCs w:val="24"/>
        </w:rPr>
        <w:t>分至2019年</w:t>
      </w:r>
      <w:r>
        <w:rPr>
          <w:rFonts w:hint="eastAsia" w:ascii="宋体" w:hAnsi="宋体" w:eastAsia="宋体" w:cs="宋体"/>
          <w:kern w:val="0"/>
          <w:sz w:val="24"/>
          <w:szCs w:val="24"/>
          <w:u w:val="single"/>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u w:val="single"/>
        </w:rPr>
        <w:t>13</w:t>
      </w:r>
      <w:r>
        <w:rPr>
          <w:rFonts w:hint="eastAsia" w:ascii="宋体" w:hAnsi="宋体" w:eastAsia="宋体" w:cs="宋体"/>
          <w:kern w:val="0"/>
          <w:sz w:val="24"/>
          <w:szCs w:val="24"/>
        </w:rPr>
        <w:t>时</w:t>
      </w:r>
      <w:r>
        <w:rPr>
          <w:rFonts w:hint="eastAsia" w:ascii="宋体" w:hAnsi="宋体" w:eastAsia="宋体" w:cs="宋体"/>
          <w:kern w:val="0"/>
          <w:sz w:val="24"/>
          <w:szCs w:val="24"/>
          <w:u w:val="single"/>
        </w:rPr>
        <w:t>30</w:t>
      </w:r>
      <w:r>
        <w:rPr>
          <w:rFonts w:hint="eastAsia" w:ascii="宋体" w:hAnsi="宋体" w:eastAsia="宋体" w:cs="宋体"/>
          <w:kern w:val="0"/>
          <w:sz w:val="24"/>
          <w:szCs w:val="24"/>
        </w:rPr>
        <w:t>分（北京时间）</w:t>
      </w:r>
    </w:p>
    <w:p>
      <w:pPr>
        <w:widowControl/>
        <w:adjustRightInd w:val="0"/>
        <w:snapToGrid w:val="0"/>
        <w:spacing w:line="360" w:lineRule="auto"/>
        <w:ind w:firstLine="240" w:firstLineChars="100"/>
        <w:jc w:val="left"/>
        <w:rPr>
          <w:rFonts w:hint="eastAsia" w:ascii="宋体" w:hAnsi="宋体" w:eastAsia="宋体" w:cs="宋体"/>
          <w:kern w:val="0"/>
          <w:sz w:val="24"/>
          <w:szCs w:val="24"/>
          <w:lang w:val="zh-CN"/>
        </w:rPr>
      </w:pPr>
      <w:r>
        <w:rPr>
          <w:rFonts w:hint="eastAsia" w:ascii="宋体" w:hAnsi="宋体" w:eastAsia="宋体" w:cs="宋体"/>
          <w:kern w:val="0"/>
          <w:sz w:val="24"/>
          <w:szCs w:val="24"/>
        </w:rPr>
        <w:t>2.地点：济南市公共资源交易中心开标厅(济南市站前街9号)</w:t>
      </w:r>
    </w:p>
    <w:p>
      <w:pPr>
        <w:widowControl/>
        <w:adjustRightInd w:val="0"/>
        <w:snapToGrid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六、招标时间及地点</w:t>
      </w:r>
    </w:p>
    <w:p>
      <w:pPr>
        <w:widowControl/>
        <w:adjustRightInd w:val="0"/>
        <w:snapToGrid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1.时间：2019年</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 xml:space="preserve"> 月    日13时30分（北京时间）</w:t>
      </w:r>
    </w:p>
    <w:p>
      <w:pPr>
        <w:widowControl/>
        <w:adjustRightInd w:val="0"/>
        <w:snapToGrid w:val="0"/>
        <w:spacing w:line="360" w:lineRule="auto"/>
        <w:ind w:firstLine="240" w:firstLineChars="100"/>
        <w:jc w:val="left"/>
        <w:rPr>
          <w:rFonts w:hint="eastAsia" w:ascii="宋体" w:hAnsi="宋体" w:eastAsia="宋体" w:cs="宋体"/>
          <w:kern w:val="0"/>
          <w:sz w:val="24"/>
          <w:szCs w:val="24"/>
          <w:lang w:val="zh-CN"/>
        </w:rPr>
      </w:pPr>
      <w:r>
        <w:rPr>
          <w:rFonts w:hint="eastAsia" w:ascii="宋体" w:hAnsi="宋体" w:eastAsia="宋体" w:cs="宋体"/>
          <w:kern w:val="0"/>
          <w:sz w:val="24"/>
          <w:szCs w:val="24"/>
        </w:rPr>
        <w:t>2.地点</w:t>
      </w:r>
      <w:r>
        <w:rPr>
          <w:rFonts w:hint="eastAsia" w:ascii="宋体" w:hAnsi="宋体" w:eastAsia="宋体" w:cs="宋体"/>
          <w:kern w:val="0"/>
          <w:sz w:val="24"/>
          <w:szCs w:val="24"/>
          <w:lang w:val="zh-CN"/>
        </w:rPr>
        <w:t>：</w:t>
      </w:r>
      <w:r>
        <w:rPr>
          <w:rFonts w:hint="eastAsia" w:ascii="宋体" w:hAnsi="宋体" w:eastAsia="宋体" w:cs="宋体"/>
          <w:kern w:val="0"/>
          <w:sz w:val="24"/>
          <w:szCs w:val="24"/>
        </w:rPr>
        <w:t>济南市公共资源交易中心开标厅(济南市站前街9号)</w:t>
      </w:r>
    </w:p>
    <w:p>
      <w:pPr>
        <w:widowControl/>
        <w:adjustRightInd w:val="0"/>
        <w:snapToGrid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七、采购项目联系方式</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联系人：</w:t>
      </w:r>
      <w:r>
        <w:rPr>
          <w:rFonts w:hint="eastAsia" w:ascii="宋体" w:hAnsi="宋体" w:cs="宋体"/>
          <w:kern w:val="0"/>
          <w:sz w:val="24"/>
          <w:lang w:val="zh-CN"/>
        </w:rPr>
        <w:t>田生</w:t>
      </w:r>
      <w:r>
        <w:rPr>
          <w:rFonts w:hint="eastAsia" w:ascii="宋体" w:hAnsi="宋体" w:cs="宋体"/>
          <w:kern w:val="0"/>
          <w:sz w:val="24"/>
        </w:rPr>
        <w:t xml:space="preserve">   </w:t>
      </w:r>
      <w:r>
        <w:rPr>
          <w:rFonts w:hint="eastAsia" w:ascii="宋体" w:hAnsi="宋体" w:cs="宋体"/>
          <w:kern w:val="0"/>
          <w:sz w:val="24"/>
          <w:lang w:val="zh-CN"/>
        </w:rPr>
        <w:t>联系方式：</w:t>
      </w:r>
      <w:r>
        <w:rPr>
          <w:rFonts w:hint="eastAsia" w:ascii="宋体" w:hAnsi="宋体" w:cs="宋体"/>
          <w:kern w:val="0"/>
          <w:sz w:val="24"/>
        </w:rPr>
        <w:t>0531-88809762</w:t>
      </w:r>
    </w:p>
    <w:p>
      <w:pPr>
        <w:numPr>
          <w:ilvl w:val="0"/>
          <w:numId w:val="1"/>
        </w:numPr>
        <w:adjustRightInd w:val="0"/>
        <w:snapToGrid w:val="0"/>
        <w:spacing w:line="360" w:lineRule="auto"/>
        <w:ind w:firstLine="240" w:firstLineChars="100"/>
        <w:rPr>
          <w:rFonts w:ascii="宋体" w:hAnsi="宋体" w:cs="宋体"/>
          <w:kern w:val="0"/>
          <w:sz w:val="24"/>
          <w:u w:val="single"/>
          <w:lang w:val="zh-CN"/>
        </w:rPr>
      </w:pPr>
      <w:r>
        <w:rPr>
          <w:rFonts w:hint="eastAsia" w:ascii="宋体" w:hAnsi="宋体" w:cs="宋体"/>
          <w:kern w:val="0"/>
          <w:sz w:val="24"/>
        </w:rPr>
        <w:t>采购项目的用途、数量、简要技术要求等</w:t>
      </w:r>
      <w:r>
        <w:rPr>
          <w:rFonts w:hint="eastAsia" w:ascii="宋体" w:hAnsi="宋体" w:cs="宋体"/>
          <w:kern w:val="0"/>
          <w:sz w:val="24"/>
          <w:u w:val="single"/>
          <w:lang w:val="zh-CN"/>
        </w:rPr>
        <w:t>详见招标文件</w:t>
      </w:r>
    </w:p>
    <w:p>
      <w:pPr>
        <w:adjustRightInd w:val="0"/>
        <w:snapToGrid w:val="0"/>
        <w:spacing w:line="360" w:lineRule="auto"/>
        <w:ind w:firstLine="240" w:firstLineChars="100"/>
        <w:rPr>
          <w:rFonts w:ascii="宋体" w:hAnsi="宋体" w:cs="宋体"/>
          <w:kern w:val="0"/>
          <w:sz w:val="24"/>
          <w:u w:val="single"/>
        </w:rPr>
      </w:pPr>
      <w:r>
        <w:rPr>
          <w:rFonts w:hint="eastAsia" w:ascii="宋体" w:hAnsi="宋体" w:cs="宋体"/>
          <w:kern w:val="0"/>
          <w:sz w:val="24"/>
        </w:rPr>
        <w:t>九、采购项目需要落实的政府采购政策</w:t>
      </w:r>
      <w:r>
        <w:rPr>
          <w:rFonts w:hint="eastAsia" w:ascii="宋体" w:hAnsi="宋体" w:cs="宋体"/>
          <w:kern w:val="0"/>
          <w:sz w:val="24"/>
          <w:u w:val="single"/>
        </w:rPr>
        <w:t>等详见招标文件</w:t>
      </w:r>
    </w:p>
    <w:p>
      <w:pPr>
        <w:adjustRightInd w:val="0"/>
        <w:snapToGrid w:val="0"/>
        <w:spacing w:line="360" w:lineRule="auto"/>
        <w:rPr>
          <w:rFonts w:ascii="宋体" w:hAnsi="宋体" w:cs="宋体" w:eastAsiaTheme="minorEastAsia"/>
          <w:kern w:val="0"/>
          <w:sz w:val="24"/>
        </w:rPr>
      </w:pPr>
      <w:r>
        <w:rPr>
          <w:rFonts w:hint="eastAsia" w:ascii="宋体" w:hAnsi="宋体" w:cs="宋体"/>
          <w:kern w:val="0"/>
          <w:sz w:val="24"/>
        </w:rPr>
        <w:t xml:space="preserve">      附件：</w:t>
      </w:r>
      <w:r>
        <w:rPr>
          <w:rFonts w:hint="eastAsia" w:ascii="宋体" w:hAnsi="宋体" w:eastAsia="宋体" w:cs="宋体"/>
          <w:kern w:val="0"/>
          <w:sz w:val="24"/>
        </w:rPr>
        <w:t>招标</w:t>
      </w:r>
      <w:r>
        <w:rPr>
          <w:rFonts w:hint="eastAsia" w:ascii="宋体" w:hAnsi="宋体" w:cs="宋体"/>
          <w:kern w:val="0"/>
          <w:sz w:val="24"/>
        </w:rPr>
        <w:t>文件</w:t>
      </w:r>
    </w:p>
    <w:p>
      <w:pPr>
        <w:adjustRightInd w:val="0"/>
        <w:snapToGrid w:val="0"/>
        <w:spacing w:line="360" w:lineRule="auto"/>
        <w:jc w:val="center"/>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发 布 人：山东蓝盾招标代理有限公司</w:t>
      </w:r>
    </w:p>
    <w:p>
      <w:pPr>
        <w:adjustRightInd w:val="0"/>
        <w:snapToGrid w:val="0"/>
        <w:spacing w:line="360" w:lineRule="auto"/>
        <w:ind w:right="105"/>
        <w:jc w:val="center"/>
        <w:rPr>
          <w:sz w:val="24"/>
        </w:rPr>
      </w:pPr>
      <w:r>
        <w:rPr>
          <w:rFonts w:hint="eastAsia" w:ascii="宋体" w:hAnsi="宋体" w:cs="宋体"/>
          <w:kern w:val="0"/>
          <w:sz w:val="24"/>
        </w:rPr>
        <w:t xml:space="preserve">                                  </w:t>
      </w:r>
      <w:r>
        <w:rPr>
          <w:rFonts w:hint="eastAsia" w:ascii="宋体" w:hAnsi="宋体" w:cs="宋体"/>
          <w:kern w:val="0"/>
          <w:sz w:val="24"/>
          <w:lang w:val="zh-CN"/>
        </w:rPr>
        <w:t>发布时间：</w:t>
      </w:r>
      <w:r>
        <w:rPr>
          <w:rFonts w:hint="eastAsia" w:ascii="宋体" w:hAnsi="宋体" w:cs="宋体"/>
          <w:kern w:val="0"/>
          <w:sz w:val="24"/>
        </w:rPr>
        <w:t>2019年</w:t>
      </w:r>
      <w:r>
        <w:rPr>
          <w:rFonts w:hint="eastAsia" w:ascii="宋体" w:hAnsi="宋体" w:eastAsia="宋体" w:cs="宋体"/>
          <w:kern w:val="0"/>
          <w:sz w:val="24"/>
          <w:lang w:val="en-US" w:eastAsia="zh-CN"/>
        </w:rPr>
        <w:t>10</w:t>
      </w:r>
      <w:r>
        <w:rPr>
          <w:rFonts w:hint="eastAsia" w:ascii="宋体" w:hAnsi="宋体" w:cs="宋体"/>
          <w:kern w:val="0"/>
          <w:sz w:val="24"/>
        </w:rPr>
        <w:t>月   日</w:t>
      </w:r>
    </w:p>
    <w:p>
      <w:pPr>
        <w:spacing w:line="360" w:lineRule="auto"/>
        <w:outlineLvl w:val="0"/>
        <w:rPr>
          <w:rFonts w:ascii="宋体" w:hAnsi="宋体" w:eastAsia="宋体" w:cs="宋体"/>
          <w:b/>
          <w:bCs/>
          <w:sz w:val="36"/>
          <w:szCs w:val="36"/>
        </w:rPr>
        <w:sectPr>
          <w:footerReference r:id="rId7" w:type="default"/>
          <w:pgSz w:w="11906" w:h="16838"/>
          <w:pgMar w:top="1440" w:right="1800" w:bottom="1440" w:left="1800" w:header="851" w:footer="992" w:gutter="0"/>
          <w:cols w:space="425" w:num="1"/>
          <w:docGrid w:type="lines" w:linePitch="312" w:charSpace="0"/>
        </w:sectPr>
      </w:pPr>
    </w:p>
    <w:p>
      <w:pPr>
        <w:rPr>
          <w:rFonts w:eastAsiaTheme="minorEastAsia"/>
        </w:rPr>
      </w:pPr>
    </w:p>
    <w:p>
      <w:pPr>
        <w:spacing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第二部分  投标人须知</w:t>
      </w:r>
      <w:bookmarkEnd w:id="2"/>
      <w:bookmarkEnd w:id="3"/>
    </w:p>
    <w:p>
      <w:pPr>
        <w:spacing w:line="500" w:lineRule="exact"/>
        <w:jc w:val="center"/>
        <w:outlineLvl w:val="0"/>
        <w:rPr>
          <w:rFonts w:ascii="宋体" w:hAnsi="宋体" w:eastAsia="宋体" w:cs="宋体"/>
          <w:sz w:val="30"/>
          <w:szCs w:val="30"/>
        </w:rPr>
      </w:pPr>
      <w:r>
        <w:rPr>
          <w:rFonts w:hint="eastAsia" w:ascii="宋体" w:hAnsi="宋体" w:eastAsia="宋体" w:cs="宋体"/>
          <w:sz w:val="30"/>
          <w:szCs w:val="30"/>
        </w:rPr>
        <w:t>前附表</w:t>
      </w:r>
    </w:p>
    <w:tbl>
      <w:tblPr>
        <w:tblStyle w:val="25"/>
        <w:tblW w:w="9795" w:type="dxa"/>
        <w:jc w:val="center"/>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3"/>
        <w:gridCol w:w="2012"/>
        <w:gridCol w:w="69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8" w:hRule="atLeast"/>
          <w:jc w:val="center"/>
        </w:trPr>
        <w:tc>
          <w:tcPr>
            <w:tcW w:w="833" w:type="dxa"/>
            <w:tcBorders>
              <w:top w:val="single" w:color="auto" w:sz="4" w:space="0"/>
            </w:tcBorders>
            <w:noWrap/>
            <w:vAlign w:val="bottom"/>
          </w:tcPr>
          <w:p>
            <w:pPr>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序号</w:t>
            </w:r>
          </w:p>
        </w:tc>
        <w:tc>
          <w:tcPr>
            <w:tcW w:w="2012" w:type="dxa"/>
            <w:tcBorders>
              <w:top w:val="single" w:color="auto" w:sz="4" w:space="0"/>
              <w:left w:val="single" w:color="auto" w:sz="4" w:space="0"/>
            </w:tcBorders>
            <w:noWrap/>
            <w:vAlign w:val="bottom"/>
          </w:tcPr>
          <w:p>
            <w:pPr>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内容</w:t>
            </w:r>
          </w:p>
        </w:tc>
        <w:tc>
          <w:tcPr>
            <w:tcW w:w="6950" w:type="dxa"/>
            <w:tcBorders>
              <w:top w:val="single" w:color="auto" w:sz="4" w:space="0"/>
            </w:tcBorders>
            <w:noWrap/>
            <w:vAlign w:val="bottom"/>
          </w:tcPr>
          <w:p>
            <w:pPr>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说明与要求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8" w:hRule="atLeast"/>
          <w:jc w:val="center"/>
        </w:trPr>
        <w:tc>
          <w:tcPr>
            <w:tcW w:w="833" w:type="dxa"/>
            <w:tcBorders>
              <w:top w:val="single" w:color="auto" w:sz="4" w:space="0"/>
            </w:tcBorders>
            <w:noWrap/>
            <w:vAlign w:val="center"/>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1</w:t>
            </w:r>
          </w:p>
        </w:tc>
        <w:tc>
          <w:tcPr>
            <w:tcW w:w="2012" w:type="dxa"/>
            <w:tcBorders>
              <w:top w:val="single" w:color="auto" w:sz="4" w:space="0"/>
              <w:left w:val="single" w:color="auto" w:sz="4" w:space="0"/>
            </w:tcBorders>
            <w:noWrap/>
            <w:vAlign w:val="center"/>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综合说明</w:t>
            </w:r>
          </w:p>
        </w:tc>
        <w:tc>
          <w:tcPr>
            <w:tcW w:w="6950" w:type="dxa"/>
            <w:tcBorders>
              <w:top w:val="single" w:color="auto" w:sz="4" w:space="0"/>
            </w:tcBorders>
            <w:noWrap/>
          </w:tcPr>
          <w:p>
            <w:pPr>
              <w:widowControl/>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1.采购单位：济南市生态环境局</w:t>
            </w:r>
          </w:p>
          <w:p>
            <w:pPr>
              <w:widowControl/>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2.采购项目：济南市生态环境局市控重点河流断面水质在线监测建设（一期）服务采购项目</w:t>
            </w:r>
          </w:p>
          <w:p>
            <w:pPr>
              <w:widowControl/>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3.地点：山东省济南市</w:t>
            </w:r>
          </w:p>
          <w:p>
            <w:pPr>
              <w:widowControl/>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z w:val="24"/>
              </w:rPr>
              <w:t>4.采购范围：详见项目要求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8" w:hRule="atLeast"/>
          <w:jc w:val="center"/>
        </w:trPr>
        <w:tc>
          <w:tcPr>
            <w:tcW w:w="833" w:type="dxa"/>
            <w:tcBorders>
              <w:top w:val="single" w:color="auto" w:sz="4" w:space="0"/>
            </w:tcBorders>
            <w:noWrap/>
            <w:vAlign w:val="bottom"/>
          </w:tcPr>
          <w:p>
            <w:pPr>
              <w:widowControl/>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2</w:t>
            </w:r>
          </w:p>
        </w:tc>
        <w:tc>
          <w:tcPr>
            <w:tcW w:w="2012" w:type="dxa"/>
            <w:tcBorders>
              <w:top w:val="single" w:color="auto" w:sz="4" w:space="0"/>
              <w:left w:val="single" w:color="auto" w:sz="4" w:space="0"/>
            </w:tcBorders>
            <w:noWrap/>
            <w:vAlign w:val="bottom"/>
          </w:tcPr>
          <w:p>
            <w:pPr>
              <w:widowControl/>
              <w:tabs>
                <w:tab w:val="center" w:pos="1019"/>
                <w:tab w:val="right" w:pos="1918"/>
              </w:tabs>
              <w:spacing w:line="360" w:lineRule="auto"/>
              <w:ind w:firstLine="504" w:firstLineChars="200"/>
              <w:jc w:val="left"/>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采购方式</w:t>
            </w:r>
          </w:p>
        </w:tc>
        <w:tc>
          <w:tcPr>
            <w:tcW w:w="6950" w:type="dxa"/>
            <w:tcBorders>
              <w:top w:val="single" w:color="auto" w:sz="4" w:space="0"/>
            </w:tcBorders>
            <w:noWrap/>
            <w:vAlign w:val="bottom"/>
          </w:tcPr>
          <w:p>
            <w:pPr>
              <w:widowControl/>
              <w:tabs>
                <w:tab w:val="center" w:pos="3367"/>
              </w:tabs>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公开招标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4" w:hRule="atLeast"/>
          <w:jc w:val="center"/>
        </w:trPr>
        <w:tc>
          <w:tcPr>
            <w:tcW w:w="833" w:type="dxa"/>
            <w:noWrap/>
            <w:vAlign w:val="center"/>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3</w:t>
            </w:r>
          </w:p>
        </w:tc>
        <w:tc>
          <w:tcPr>
            <w:tcW w:w="2012" w:type="dxa"/>
            <w:tcBorders>
              <w:left w:val="single" w:color="auto" w:sz="4" w:space="0"/>
            </w:tcBorders>
            <w:noWrap/>
            <w:vAlign w:val="center"/>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供应商资格要求</w:t>
            </w:r>
          </w:p>
        </w:tc>
        <w:tc>
          <w:tcPr>
            <w:tcW w:w="6950" w:type="dxa"/>
            <w:noWrap/>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1、供应商应符合《中华人民共和国政府采购法》第二十二条规定且应为未被列入信用中国网站（www.creditchina.gov.cn ）、中国政府采购网(www.ccgp.gov.cn)、信用山东（www.creditsd.gov.cn ）等渠道信用记录失信被执行人、重大税收违法案件当事人名单、政府采购严重违法失信行为记录名单；（截图报名时须携带）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2、供应商须为在中华人民共和国境内登记注册，具备独立法人资格或其依法设立的</w:t>
            </w:r>
            <w:r>
              <w:rPr>
                <w:rFonts w:hint="eastAsia" w:ascii="宋体" w:hAnsi="宋体" w:eastAsia="宋体" w:cs="宋体"/>
                <w:color w:val="auto"/>
                <w:sz w:val="24"/>
                <w:szCs w:val="24"/>
                <w:lang w:eastAsia="zh-CN"/>
              </w:rPr>
              <w:t>其他组织</w:t>
            </w:r>
            <w:r>
              <w:rPr>
                <w:rFonts w:hint="eastAsia" w:ascii="宋体" w:hAnsi="宋体" w:eastAsia="宋体" w:cs="宋体"/>
                <w:color w:val="auto"/>
                <w:sz w:val="24"/>
                <w:szCs w:val="24"/>
              </w:rPr>
              <w:t>,能够提供本次所采购服务能力的供应商；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、本项目不接受联合体投标</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4、法律法规规定的其他条款。</w:t>
            </w:r>
          </w:p>
          <w:p>
            <w:pPr>
              <w:pStyle w:val="32"/>
              <w:widowControl/>
              <w:spacing w:line="360" w:lineRule="auto"/>
              <w:ind w:firstLine="0" w:firstLineChars="0"/>
              <w:rPr>
                <w:rFonts w:asciiTheme="minorEastAsia" w:hAnsiTheme="minorEastAsia" w:eastAsiaTheme="minorEastAsia" w:cstheme="minorEastAsia"/>
              </w:rPr>
            </w:pPr>
            <w:r>
              <w:rPr>
                <w:rFonts w:hint="eastAsia" w:ascii="宋体" w:hAnsi="宋体" w:eastAsia="宋体" w:cs="宋体"/>
                <w:color w:val="auto"/>
                <w:sz w:val="24"/>
                <w:szCs w:val="24"/>
                <w:lang w:val="en-US" w:eastAsia="zh-CN"/>
              </w:rPr>
              <w:t>5、本项目不兼投，供应商只能选择一个标包投标。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8" w:hRule="atLeast"/>
          <w:jc w:val="center"/>
        </w:trPr>
        <w:tc>
          <w:tcPr>
            <w:tcW w:w="833" w:type="dxa"/>
            <w:noWrap/>
            <w:vAlign w:val="bottom"/>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4</w:t>
            </w:r>
          </w:p>
        </w:tc>
        <w:tc>
          <w:tcPr>
            <w:tcW w:w="2012" w:type="dxa"/>
            <w:tcBorders>
              <w:left w:val="single" w:color="auto" w:sz="4" w:space="0"/>
            </w:tcBorders>
            <w:noWrap/>
            <w:vAlign w:val="bottom"/>
          </w:tcPr>
          <w:p>
            <w:pPr>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资格审查方式</w:t>
            </w:r>
          </w:p>
        </w:tc>
        <w:tc>
          <w:tcPr>
            <w:tcW w:w="6950" w:type="dxa"/>
            <w:noWrap/>
            <w:vAlign w:val="bottom"/>
          </w:tcPr>
          <w:p>
            <w:pPr>
              <w:widowControl/>
              <w:autoSpaceDE w:val="0"/>
              <w:autoSpaceDN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资格后审，资质审查以见证机构最终审查结果为准。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jc w:val="center"/>
        </w:trPr>
        <w:tc>
          <w:tcPr>
            <w:tcW w:w="833" w:type="dxa"/>
            <w:noWrap/>
            <w:vAlign w:val="bottom"/>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5</w:t>
            </w:r>
          </w:p>
        </w:tc>
        <w:tc>
          <w:tcPr>
            <w:tcW w:w="2012" w:type="dxa"/>
            <w:tcBorders>
              <w:left w:val="single" w:color="auto" w:sz="4" w:space="0"/>
            </w:tcBorders>
            <w:noWrap/>
            <w:vAlign w:val="center"/>
          </w:tcPr>
          <w:p>
            <w:pPr>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z w:val="24"/>
              </w:rPr>
              <w:t>资金来源</w:t>
            </w:r>
          </w:p>
        </w:tc>
        <w:tc>
          <w:tcPr>
            <w:tcW w:w="6950" w:type="dxa"/>
            <w:noWrap/>
            <w:vAlign w:val="center"/>
          </w:tcPr>
          <w:p>
            <w:pPr>
              <w:widowControl/>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财政资金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jc w:val="center"/>
        </w:trPr>
        <w:tc>
          <w:tcPr>
            <w:tcW w:w="833" w:type="dxa"/>
            <w:noWrap/>
            <w:vAlign w:val="bottom"/>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6</w:t>
            </w:r>
          </w:p>
        </w:tc>
        <w:tc>
          <w:tcPr>
            <w:tcW w:w="2012" w:type="dxa"/>
            <w:tcBorders>
              <w:left w:val="single" w:color="auto" w:sz="4" w:space="0"/>
            </w:tcBorders>
            <w:noWrap/>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报价有效期</w:t>
            </w:r>
          </w:p>
        </w:tc>
        <w:tc>
          <w:tcPr>
            <w:tcW w:w="6950" w:type="dxa"/>
            <w:noWrap/>
            <w:vAlign w:val="center"/>
          </w:tcPr>
          <w:p>
            <w:pPr>
              <w:widowControl/>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公开报价后</w:t>
            </w:r>
            <w:r>
              <w:rPr>
                <w:rFonts w:hint="eastAsia" w:asciiTheme="minorEastAsia" w:hAnsiTheme="minorEastAsia" w:eastAsiaTheme="minorEastAsia" w:cstheme="minorEastAsia"/>
                <w:spacing w:val="6"/>
                <w:sz w:val="24"/>
                <w:u w:val="single"/>
              </w:rPr>
              <w:t>30</w:t>
            </w:r>
            <w:r>
              <w:rPr>
                <w:rFonts w:hint="eastAsia" w:asciiTheme="minorEastAsia" w:hAnsiTheme="minorEastAsia" w:eastAsiaTheme="minorEastAsia" w:cstheme="minorEastAsia"/>
                <w:spacing w:val="6"/>
                <w:sz w:val="24"/>
              </w:rPr>
              <w:t>日历天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jc w:val="center"/>
        </w:trPr>
        <w:tc>
          <w:tcPr>
            <w:tcW w:w="833" w:type="dxa"/>
            <w:noWrap/>
            <w:vAlign w:val="bottom"/>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7</w:t>
            </w:r>
          </w:p>
        </w:tc>
        <w:tc>
          <w:tcPr>
            <w:tcW w:w="2012" w:type="dxa"/>
            <w:tcBorders>
              <w:left w:val="single" w:color="auto" w:sz="4" w:space="0"/>
            </w:tcBorders>
            <w:noWrap/>
            <w:vAlign w:val="center"/>
          </w:tcPr>
          <w:p>
            <w:pPr>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响应文件份数</w:t>
            </w:r>
          </w:p>
        </w:tc>
        <w:tc>
          <w:tcPr>
            <w:tcW w:w="6950" w:type="dxa"/>
            <w:noWrap/>
            <w:vAlign w:val="center"/>
          </w:tcPr>
          <w:p>
            <w:pPr>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一份正本,四份副本，电子版一份（光盘或U盘）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833" w:type="dxa"/>
            <w:noWrap/>
            <w:vAlign w:val="bottom"/>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8</w:t>
            </w:r>
          </w:p>
        </w:tc>
        <w:tc>
          <w:tcPr>
            <w:tcW w:w="2012" w:type="dxa"/>
            <w:tcBorders>
              <w:left w:val="single" w:color="auto" w:sz="4" w:space="0"/>
            </w:tcBorders>
            <w:noWrap/>
            <w:vAlign w:val="center"/>
          </w:tcPr>
          <w:p>
            <w:pPr>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踏勘现场</w:t>
            </w:r>
          </w:p>
        </w:tc>
        <w:tc>
          <w:tcPr>
            <w:tcW w:w="6950" w:type="dxa"/>
            <w:noWrap/>
            <w:vAlign w:val="center"/>
          </w:tcPr>
          <w:p>
            <w:pPr>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自行踏勘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12" w:hRule="atLeast"/>
          <w:jc w:val="center"/>
        </w:trPr>
        <w:tc>
          <w:tcPr>
            <w:tcW w:w="833" w:type="dxa"/>
            <w:noWrap/>
            <w:vAlign w:val="center"/>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9</w:t>
            </w:r>
          </w:p>
        </w:tc>
        <w:tc>
          <w:tcPr>
            <w:tcW w:w="2012" w:type="dxa"/>
            <w:tcBorders>
              <w:left w:val="single" w:color="auto" w:sz="4" w:space="0"/>
            </w:tcBorders>
            <w:noWrap/>
            <w:vAlign w:val="center"/>
          </w:tcPr>
          <w:p>
            <w:pPr>
              <w:pStyle w:val="32"/>
              <w:spacing w:line="360" w:lineRule="auto"/>
              <w:ind w:firstLine="504"/>
              <w:rPr>
                <w:rFonts w:asciiTheme="minorEastAsia" w:hAnsiTheme="minorEastAsia" w:eastAsiaTheme="minorEastAsia" w:cstheme="minorEastAsia"/>
              </w:rPr>
            </w:pPr>
            <w:r>
              <w:rPr>
                <w:rFonts w:hint="eastAsia" w:asciiTheme="minorEastAsia" w:hAnsiTheme="minorEastAsia" w:eastAsiaTheme="minorEastAsia" w:cstheme="minorEastAsia"/>
              </w:rPr>
              <w:t>付款方式</w:t>
            </w:r>
          </w:p>
        </w:tc>
        <w:tc>
          <w:tcPr>
            <w:tcW w:w="6950" w:type="dxa"/>
            <w:noWrap/>
            <w:vAlign w:val="bottom"/>
          </w:tcPr>
          <w:p>
            <w:pPr>
              <w:pStyle w:val="32"/>
              <w:spacing w:line="360" w:lineRule="auto"/>
              <w:ind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项目建设完成、验收后，济南市生态环境局与项目中标商签订一年服务合同，如当年考核合格，则第二年续签，以此类推，可续签至五年。根据每月考核结果，每半年支付一次服务费用。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0" w:hRule="atLeast"/>
          <w:jc w:val="center"/>
        </w:trPr>
        <w:tc>
          <w:tcPr>
            <w:tcW w:w="833" w:type="dxa"/>
            <w:noWrap/>
            <w:vAlign w:val="center"/>
          </w:tcPr>
          <w:p>
            <w:pPr>
              <w:spacing w:line="480" w:lineRule="auto"/>
              <w:ind w:firstLine="252" w:firstLineChars="1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10</w:t>
            </w:r>
          </w:p>
        </w:tc>
        <w:tc>
          <w:tcPr>
            <w:tcW w:w="2012" w:type="dxa"/>
            <w:tcBorders>
              <w:left w:val="single" w:color="auto" w:sz="4" w:space="0"/>
            </w:tcBorders>
            <w:noWrap/>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提出疑问时间</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及方式</w:t>
            </w:r>
          </w:p>
        </w:tc>
        <w:tc>
          <w:tcPr>
            <w:tcW w:w="6950" w:type="dxa"/>
            <w:noWrap/>
            <w:vAlign w:val="center"/>
          </w:tcPr>
          <w:p>
            <w:pPr>
              <w:widowControl/>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z w:val="24"/>
              </w:rPr>
              <w:t>时  间：</w:t>
            </w:r>
            <w:r>
              <w:rPr>
                <w:rFonts w:hint="eastAsia" w:asciiTheme="minorEastAsia" w:hAnsiTheme="minorEastAsia" w:eastAsiaTheme="minorEastAsia" w:cstheme="minorEastAsia"/>
                <w:spacing w:val="6"/>
                <w:sz w:val="24"/>
              </w:rPr>
              <w:t>2019年</w:t>
            </w:r>
            <w:r>
              <w:rPr>
                <w:rFonts w:hint="eastAsia" w:asciiTheme="minorEastAsia" w:hAnsiTheme="minorEastAsia" w:eastAsiaTheme="minorEastAsia" w:cstheme="minorEastAsia"/>
                <w:spacing w:val="6"/>
                <w:sz w:val="24"/>
                <w:lang w:val="en-US" w:eastAsia="zh-CN"/>
              </w:rPr>
              <w:t>10</w:t>
            </w:r>
            <w:r>
              <w:rPr>
                <w:rFonts w:hint="eastAsia" w:asciiTheme="minorEastAsia" w:hAnsiTheme="minorEastAsia" w:eastAsiaTheme="minorEastAsia" w:cstheme="minorEastAsia"/>
                <w:spacing w:val="6"/>
                <w:sz w:val="24"/>
              </w:rPr>
              <w:t>月   日中午12:00前（北京时间）</w:t>
            </w:r>
          </w:p>
          <w:p>
            <w:pPr>
              <w:widowControl/>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方  式:各供应商如有疑问，可标注好公司名称后，以电子版形式发送至山东蓝盾招标代理有限公司</w:t>
            </w:r>
          </w:p>
          <w:p>
            <w:pPr>
              <w:widowControl/>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电子邮箱：</w:t>
            </w:r>
            <w:r>
              <w:fldChar w:fldCharType="begin"/>
            </w:r>
            <w:r>
              <w:instrText xml:space="preserve"> HYPERLINK "mailto:SDLDZBDL@163.com并电话通知招标代理单位；" </w:instrText>
            </w:r>
            <w:r>
              <w:fldChar w:fldCharType="separate"/>
            </w:r>
            <w:r>
              <w:rPr>
                <w:rStyle w:val="29"/>
                <w:rFonts w:hint="eastAsia" w:asciiTheme="minorEastAsia" w:hAnsiTheme="minorEastAsia" w:eastAsiaTheme="minorEastAsia" w:cstheme="minorEastAsia"/>
                <w:color w:val="auto"/>
              </w:rPr>
              <w:t xml:space="preserve">SDLDZBDL@163.com </w:t>
            </w:r>
            <w:r>
              <w:rPr>
                <w:rStyle w:val="29"/>
                <w:rFonts w:hint="eastAsia" w:asciiTheme="minorEastAsia" w:hAnsiTheme="minorEastAsia" w:eastAsiaTheme="minorEastAsia" w:cstheme="minorEastAsia"/>
                <w:color w:val="auto"/>
                <w:spacing w:val="6"/>
              </w:rPr>
              <w:t>并电话通知招标代理单位；</w:t>
            </w:r>
            <w:r>
              <w:rPr>
                <w:rStyle w:val="29"/>
                <w:rFonts w:hint="eastAsia" w:asciiTheme="minorEastAsia" w:hAnsiTheme="minorEastAsia" w:eastAsiaTheme="minorEastAsia" w:cstheme="minorEastAsia"/>
                <w:color w:val="auto"/>
                <w:spacing w:val="6"/>
              </w:rPr>
              <w:fldChar w:fldCharType="end"/>
            </w:r>
          </w:p>
          <w:p>
            <w:pPr>
              <w:widowControl/>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pacing w:val="6"/>
                <w:sz w:val="24"/>
              </w:rPr>
              <w:t>联系电话：</w:t>
            </w:r>
            <w:r>
              <w:rPr>
                <w:rFonts w:hint="eastAsia" w:asciiTheme="minorEastAsia" w:hAnsiTheme="minorEastAsia" w:eastAsiaTheme="minorEastAsia" w:cstheme="minorEastAsia"/>
                <w:sz w:val="24"/>
              </w:rPr>
              <w:t>0531-88809762-8010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4" w:hRule="atLeast"/>
          <w:jc w:val="center"/>
        </w:trPr>
        <w:tc>
          <w:tcPr>
            <w:tcW w:w="833" w:type="dxa"/>
            <w:vMerge w:val="restart"/>
            <w:noWrap/>
            <w:vAlign w:val="center"/>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11</w:t>
            </w:r>
          </w:p>
        </w:tc>
        <w:tc>
          <w:tcPr>
            <w:tcW w:w="2012" w:type="dxa"/>
            <w:vMerge w:val="restart"/>
            <w:tcBorders>
              <w:left w:val="single" w:color="auto" w:sz="4" w:space="0"/>
            </w:tcBorders>
            <w:noWrap/>
            <w:vAlign w:val="center"/>
          </w:tcPr>
          <w:p>
            <w:pPr>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递交响应文件截止时间、地点</w:t>
            </w:r>
          </w:p>
        </w:tc>
        <w:tc>
          <w:tcPr>
            <w:tcW w:w="6950" w:type="dxa"/>
            <w:tcBorders>
              <w:bottom w:val="single" w:color="auto" w:sz="4" w:space="0"/>
            </w:tcBorders>
            <w:noWrap/>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pacing w:val="6"/>
                <w:sz w:val="24"/>
              </w:rPr>
              <w:t>2019年</w:t>
            </w:r>
            <w:r>
              <w:rPr>
                <w:rFonts w:hint="eastAsia" w:asciiTheme="minorEastAsia" w:hAnsiTheme="minorEastAsia" w:eastAsiaTheme="minorEastAsia" w:cstheme="minorEastAsia"/>
                <w:spacing w:val="6"/>
                <w:sz w:val="24"/>
                <w:lang w:val="en-US" w:eastAsia="zh-CN"/>
              </w:rPr>
              <w:t>10</w:t>
            </w:r>
            <w:r>
              <w:rPr>
                <w:rFonts w:hint="eastAsia" w:asciiTheme="minorEastAsia" w:hAnsiTheme="minorEastAsia" w:eastAsiaTheme="minorEastAsia" w:cstheme="minorEastAsia"/>
                <w:spacing w:val="6"/>
                <w:sz w:val="24"/>
              </w:rPr>
              <w:t xml:space="preserve"> 月   日13:30（北京时间）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4" w:hRule="atLeast"/>
          <w:jc w:val="center"/>
        </w:trPr>
        <w:tc>
          <w:tcPr>
            <w:tcW w:w="833" w:type="dxa"/>
            <w:vMerge w:val="continue"/>
            <w:noWrap/>
            <w:vAlign w:val="center"/>
          </w:tcPr>
          <w:p>
            <w:pPr>
              <w:spacing w:line="480" w:lineRule="auto"/>
              <w:jc w:val="center"/>
              <w:rPr>
                <w:rFonts w:asciiTheme="minorEastAsia" w:hAnsiTheme="minorEastAsia" w:eastAsiaTheme="minorEastAsia" w:cstheme="minorEastAsia"/>
                <w:spacing w:val="6"/>
                <w:sz w:val="24"/>
              </w:rPr>
            </w:pPr>
          </w:p>
        </w:tc>
        <w:tc>
          <w:tcPr>
            <w:tcW w:w="2012" w:type="dxa"/>
            <w:vMerge w:val="continue"/>
            <w:tcBorders>
              <w:left w:val="single" w:color="auto" w:sz="4" w:space="0"/>
            </w:tcBorders>
            <w:noWrap/>
            <w:vAlign w:val="center"/>
          </w:tcPr>
          <w:p>
            <w:pPr>
              <w:spacing w:line="360" w:lineRule="auto"/>
              <w:jc w:val="center"/>
              <w:rPr>
                <w:rFonts w:asciiTheme="minorEastAsia" w:hAnsiTheme="minorEastAsia" w:eastAsiaTheme="minorEastAsia" w:cstheme="minorEastAsia"/>
                <w:spacing w:val="6"/>
                <w:sz w:val="24"/>
              </w:rPr>
            </w:pPr>
          </w:p>
        </w:tc>
        <w:tc>
          <w:tcPr>
            <w:tcW w:w="6950" w:type="dxa"/>
            <w:tcBorders>
              <w:top w:val="single" w:color="auto" w:sz="4" w:space="0"/>
            </w:tcBorders>
            <w:noWrap/>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地点：</w:t>
            </w:r>
            <w:r>
              <w:rPr>
                <w:rFonts w:hint="eastAsia" w:asciiTheme="minorEastAsia" w:hAnsiTheme="minorEastAsia" w:eastAsiaTheme="minorEastAsia" w:cstheme="minorEastAsia"/>
                <w:kern w:val="0"/>
                <w:sz w:val="24"/>
              </w:rPr>
              <w:t>济南市公共资源交易中心开标厅(济南市站前街9号)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4" w:hRule="atLeast"/>
          <w:jc w:val="center"/>
        </w:trPr>
        <w:tc>
          <w:tcPr>
            <w:tcW w:w="833" w:type="dxa"/>
            <w:vMerge w:val="restart"/>
            <w:noWrap/>
            <w:vAlign w:val="center"/>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12</w:t>
            </w:r>
          </w:p>
        </w:tc>
        <w:tc>
          <w:tcPr>
            <w:tcW w:w="2012" w:type="dxa"/>
            <w:vMerge w:val="restart"/>
            <w:tcBorders>
              <w:left w:val="single" w:color="auto" w:sz="4" w:space="0"/>
            </w:tcBorders>
            <w:noWrap/>
            <w:vAlign w:val="center"/>
          </w:tcPr>
          <w:p>
            <w:pPr>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报价</w:t>
            </w:r>
          </w:p>
          <w:p>
            <w:pPr>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时间及地点</w:t>
            </w:r>
          </w:p>
        </w:tc>
        <w:tc>
          <w:tcPr>
            <w:tcW w:w="6950" w:type="dxa"/>
            <w:tcBorders>
              <w:bottom w:val="single" w:color="auto" w:sz="4" w:space="0"/>
            </w:tcBorders>
            <w:noWrap/>
            <w:vAlign w:val="center"/>
          </w:tcPr>
          <w:p>
            <w:pPr>
              <w:spacing w:line="360"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pacing w:val="6"/>
                <w:sz w:val="24"/>
              </w:rPr>
              <w:t>2019年</w:t>
            </w:r>
            <w:r>
              <w:rPr>
                <w:rFonts w:hint="eastAsia" w:asciiTheme="minorEastAsia" w:hAnsiTheme="minorEastAsia" w:eastAsiaTheme="minorEastAsia" w:cstheme="minorEastAsia"/>
                <w:spacing w:val="6"/>
                <w:sz w:val="24"/>
                <w:lang w:val="en-US" w:eastAsia="zh-CN"/>
              </w:rPr>
              <w:t>10</w:t>
            </w:r>
            <w:r>
              <w:rPr>
                <w:rFonts w:hint="eastAsia" w:asciiTheme="minorEastAsia" w:hAnsiTheme="minorEastAsia" w:eastAsiaTheme="minorEastAsia" w:cstheme="minorEastAsia"/>
                <w:spacing w:val="6"/>
                <w:sz w:val="24"/>
              </w:rPr>
              <w:t>月   日13:30（北京时间）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5" w:hRule="atLeast"/>
          <w:jc w:val="center"/>
        </w:trPr>
        <w:tc>
          <w:tcPr>
            <w:tcW w:w="833" w:type="dxa"/>
            <w:vMerge w:val="continue"/>
            <w:noWrap/>
            <w:vAlign w:val="center"/>
          </w:tcPr>
          <w:p>
            <w:pPr>
              <w:spacing w:line="480" w:lineRule="auto"/>
              <w:jc w:val="center"/>
              <w:rPr>
                <w:rFonts w:asciiTheme="minorEastAsia" w:hAnsiTheme="minorEastAsia" w:eastAsiaTheme="minorEastAsia" w:cstheme="minorEastAsia"/>
                <w:spacing w:val="6"/>
                <w:sz w:val="24"/>
              </w:rPr>
            </w:pPr>
          </w:p>
        </w:tc>
        <w:tc>
          <w:tcPr>
            <w:tcW w:w="2012" w:type="dxa"/>
            <w:vMerge w:val="continue"/>
            <w:tcBorders>
              <w:left w:val="single" w:color="auto" w:sz="4" w:space="0"/>
            </w:tcBorders>
            <w:noWrap/>
            <w:vAlign w:val="center"/>
          </w:tcPr>
          <w:p>
            <w:pPr>
              <w:spacing w:line="480" w:lineRule="auto"/>
              <w:jc w:val="center"/>
              <w:rPr>
                <w:rFonts w:asciiTheme="minorEastAsia" w:hAnsiTheme="minorEastAsia" w:eastAsiaTheme="minorEastAsia" w:cstheme="minorEastAsia"/>
                <w:spacing w:val="6"/>
                <w:sz w:val="24"/>
              </w:rPr>
            </w:pPr>
          </w:p>
        </w:tc>
        <w:tc>
          <w:tcPr>
            <w:tcW w:w="6950" w:type="dxa"/>
            <w:tcBorders>
              <w:top w:val="single" w:color="auto" w:sz="4" w:space="0"/>
              <w:bottom w:val="single" w:color="auto" w:sz="4" w:space="0"/>
            </w:tcBorders>
            <w:noWrap/>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地点</w:t>
            </w:r>
            <w:r>
              <w:rPr>
                <w:rFonts w:hint="eastAsia" w:asciiTheme="minorEastAsia" w:hAnsiTheme="minorEastAsia" w:eastAsiaTheme="minorEastAsia" w:cstheme="minorEastAsia"/>
                <w:spacing w:val="6"/>
                <w:sz w:val="24"/>
              </w:rPr>
              <w:t>：</w:t>
            </w:r>
            <w:r>
              <w:rPr>
                <w:rFonts w:hint="eastAsia" w:asciiTheme="minorEastAsia" w:hAnsiTheme="minorEastAsia" w:eastAsiaTheme="minorEastAsia" w:cstheme="minorEastAsia"/>
                <w:kern w:val="0"/>
                <w:sz w:val="24"/>
              </w:rPr>
              <w:t>济南市公共资源交易中心开标厅(济南市站前街9号)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5" w:hRule="atLeast"/>
          <w:jc w:val="center"/>
        </w:trPr>
        <w:tc>
          <w:tcPr>
            <w:tcW w:w="833" w:type="dxa"/>
            <w:noWrap/>
            <w:vAlign w:val="center"/>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13</w:t>
            </w:r>
          </w:p>
        </w:tc>
        <w:tc>
          <w:tcPr>
            <w:tcW w:w="2012" w:type="dxa"/>
            <w:tcBorders>
              <w:left w:val="single" w:color="auto" w:sz="4" w:space="0"/>
            </w:tcBorders>
            <w:noWrap/>
            <w:vAlign w:val="center"/>
          </w:tcPr>
          <w:p>
            <w:pPr>
              <w:spacing w:line="48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政府采购优惠政策</w:t>
            </w:r>
          </w:p>
        </w:tc>
        <w:tc>
          <w:tcPr>
            <w:tcW w:w="6950" w:type="dxa"/>
            <w:tcBorders>
              <w:top w:val="single" w:color="auto" w:sz="4" w:space="0"/>
            </w:tcBorders>
            <w:noWrap/>
            <w:vAlign w:val="center"/>
          </w:tcPr>
          <w:p>
            <w:pPr>
              <w:numPr>
                <w:ilvl w:val="0"/>
                <w:numId w:val="2"/>
              </w:numPr>
              <w:tabs>
                <w:tab w:val="left" w:pos="558"/>
              </w:tabs>
              <w:spacing w:line="360" w:lineRule="auto"/>
              <w:rPr>
                <w:rFonts w:ascii="宋体" w:hAnsi="宋体" w:eastAsia="宋体" w:cs="宋体"/>
                <w:sz w:val="24"/>
              </w:rPr>
            </w:pPr>
            <w:r>
              <w:rPr>
                <w:rFonts w:hint="eastAsia" w:ascii="宋体" w:hAnsi="宋体" w:eastAsia="宋体" w:cs="宋体"/>
                <w:sz w:val="24"/>
              </w:rPr>
              <w:t>节能、环保产品。</w:t>
            </w:r>
          </w:p>
          <w:p>
            <w:pPr>
              <w:spacing w:line="360" w:lineRule="auto"/>
              <w:rPr>
                <w:rFonts w:ascii="宋体" w:hAnsi="宋体" w:eastAsia="宋体" w:cs="宋体"/>
                <w:sz w:val="24"/>
                <w:szCs w:val="32"/>
              </w:rPr>
            </w:pPr>
            <w:r>
              <w:rPr>
                <w:rFonts w:hint="eastAsia" w:ascii="宋体" w:hAnsi="宋体" w:eastAsia="宋体" w:cs="宋体"/>
                <w:sz w:val="24"/>
                <w:szCs w:val="32"/>
              </w:rPr>
              <w:t>1.1政府采购优先采购节能产品和环境标志产品。节能产品是指列入财政部、国家发展和改革委员会制定的《节能产品政府采购清单》，且经过认定的节能产品。环境标志产品是指财政部、国家环保总局制定的《环境标志产品政府采购清单》，且经过认证的环境标志产品。</w:t>
            </w:r>
          </w:p>
          <w:p>
            <w:pPr>
              <w:spacing w:line="360" w:lineRule="auto"/>
              <w:rPr>
                <w:rFonts w:ascii="宋体" w:hAnsi="宋体" w:eastAsia="宋体" w:cs="宋体"/>
                <w:sz w:val="24"/>
                <w:szCs w:val="32"/>
              </w:rPr>
            </w:pPr>
            <w:r>
              <w:rPr>
                <w:rFonts w:hint="eastAsia" w:ascii="宋体" w:hAnsi="宋体" w:eastAsia="宋体" w:cs="宋体"/>
                <w:sz w:val="24"/>
                <w:szCs w:val="32"/>
              </w:rPr>
              <w:t>1.2《山东省节能环保产品政府采购评审办法》的规定，评标委员会在综合评审时将对符合条件的产品在满足基本技术条件的前提下，对技术和价格项目按下列规则给予一定幅度的加分。</w:t>
            </w:r>
          </w:p>
          <w:p>
            <w:pPr>
              <w:spacing w:line="360" w:lineRule="auto"/>
              <w:rPr>
                <w:rFonts w:ascii="宋体" w:hAnsi="宋体" w:eastAsia="宋体" w:cs="宋体"/>
                <w:sz w:val="24"/>
                <w:szCs w:val="32"/>
              </w:rPr>
            </w:pPr>
            <w:r>
              <w:rPr>
                <w:rFonts w:hint="eastAsia" w:ascii="宋体" w:hAnsi="宋体" w:eastAsia="宋体" w:cs="宋体"/>
                <w:sz w:val="24"/>
                <w:szCs w:val="32"/>
              </w:rPr>
              <w:t>在价格评标项中，对节能、环保产品分别给予价格评标总分值的4％的加分，总计最高加评标价格总分值的4%；</w:t>
            </w:r>
          </w:p>
          <w:p>
            <w:pPr>
              <w:spacing w:line="360" w:lineRule="auto"/>
              <w:rPr>
                <w:rFonts w:ascii="宋体" w:hAnsi="宋体" w:eastAsia="宋体" w:cs="宋体"/>
                <w:sz w:val="24"/>
                <w:szCs w:val="32"/>
              </w:rPr>
            </w:pPr>
            <w:r>
              <w:rPr>
                <w:rFonts w:hint="eastAsia" w:ascii="宋体" w:hAnsi="宋体" w:eastAsia="宋体" w:cs="宋体"/>
                <w:sz w:val="24"/>
                <w:szCs w:val="32"/>
              </w:rPr>
              <w:t>“节能产品政府采购清单”优采加分：加分=价格评标总分值×4%×[所投“节能产品政府采购清单”（政府强制采购节能产品除外）中的产品价格在投标报价中所占比例]。</w:t>
            </w:r>
          </w:p>
          <w:p>
            <w:pPr>
              <w:spacing w:line="360" w:lineRule="auto"/>
              <w:rPr>
                <w:rFonts w:ascii="宋体" w:hAnsi="宋体" w:eastAsia="宋体" w:cs="宋体"/>
                <w:sz w:val="24"/>
                <w:szCs w:val="32"/>
              </w:rPr>
            </w:pPr>
            <w:r>
              <w:rPr>
                <w:rFonts w:hint="eastAsia" w:ascii="宋体" w:hAnsi="宋体" w:eastAsia="宋体" w:cs="宋体"/>
                <w:sz w:val="24"/>
                <w:szCs w:val="32"/>
              </w:rPr>
              <w:t>“环境标志产品政府采购清单”优采加分：加分=价格评标总分值×4%×[所投“环境标志产品政府采购清单”中的产品价格在投标报价中所占比例]。</w:t>
            </w:r>
          </w:p>
          <w:p>
            <w:pPr>
              <w:spacing w:line="360" w:lineRule="auto"/>
              <w:rPr>
                <w:rFonts w:ascii="宋体" w:hAnsi="宋体" w:eastAsia="宋体" w:cs="宋体"/>
                <w:sz w:val="24"/>
                <w:szCs w:val="32"/>
              </w:rPr>
            </w:pPr>
            <w:r>
              <w:rPr>
                <w:rFonts w:hint="eastAsia" w:ascii="宋体" w:hAnsi="宋体" w:eastAsia="宋体" w:cs="宋体"/>
                <w:sz w:val="24"/>
                <w:szCs w:val="32"/>
              </w:rPr>
              <w:t>在技术评标项中，对节能、环保产品分别给予技术评标总分值的4％的加分，总计最高加评标技术总分值的4%；</w:t>
            </w:r>
          </w:p>
          <w:p>
            <w:pPr>
              <w:spacing w:line="360" w:lineRule="auto"/>
              <w:rPr>
                <w:rFonts w:ascii="宋体" w:hAnsi="宋体" w:eastAsia="宋体" w:cs="宋体"/>
                <w:sz w:val="24"/>
                <w:szCs w:val="32"/>
              </w:rPr>
            </w:pPr>
            <w:r>
              <w:rPr>
                <w:rFonts w:hint="eastAsia" w:ascii="宋体" w:hAnsi="宋体" w:eastAsia="宋体" w:cs="宋体"/>
                <w:sz w:val="24"/>
                <w:szCs w:val="32"/>
              </w:rPr>
              <w:t>“节能产品政府采购清单”优采加分：加分=技术评标总分值×4%×[所投“节能产品政府采购清单”（政府强制采购节能产品除外）中的产品技术在技术总分值中所占比例]。</w:t>
            </w:r>
          </w:p>
          <w:p>
            <w:pPr>
              <w:spacing w:line="360" w:lineRule="auto"/>
              <w:rPr>
                <w:rFonts w:ascii="宋体" w:hAnsi="宋体" w:eastAsia="宋体" w:cs="宋体"/>
                <w:sz w:val="24"/>
                <w:szCs w:val="32"/>
              </w:rPr>
            </w:pPr>
            <w:r>
              <w:rPr>
                <w:rFonts w:hint="eastAsia" w:ascii="宋体" w:hAnsi="宋体" w:eastAsia="宋体" w:cs="宋体"/>
                <w:sz w:val="24"/>
                <w:szCs w:val="32"/>
              </w:rPr>
              <w:t>“环境标志产品政府采购清单”优采加分：加分=技术评标总分值×4%×[所投“环境标志产品政府采购清单”中的产品技术在技术总分值中所占比例]。</w:t>
            </w:r>
          </w:p>
          <w:p>
            <w:pPr>
              <w:spacing w:line="360" w:lineRule="auto"/>
              <w:rPr>
                <w:rFonts w:ascii="宋体" w:hAnsi="宋体" w:eastAsia="宋体" w:cs="宋体"/>
                <w:sz w:val="24"/>
                <w:szCs w:val="32"/>
              </w:rPr>
            </w:pPr>
            <w:r>
              <w:rPr>
                <w:rFonts w:hint="eastAsia" w:ascii="宋体" w:hAnsi="宋体" w:eastAsia="宋体" w:cs="宋体"/>
                <w:sz w:val="24"/>
                <w:szCs w:val="32"/>
              </w:rPr>
              <w:t>如果供应商提供的产品部分为节能、环保产品(强制采购节能产品除外)，由评委在评标时依据节能、环保产品所占比重酌情给予加分，最高不超过价格评标总分值和技术评标总分值的4%。</w:t>
            </w:r>
          </w:p>
          <w:p>
            <w:pPr>
              <w:spacing w:line="360" w:lineRule="auto"/>
              <w:rPr>
                <w:rFonts w:ascii="宋体" w:hAnsi="宋体" w:eastAsia="宋体" w:cs="宋体"/>
                <w:sz w:val="24"/>
                <w:szCs w:val="32"/>
              </w:rPr>
            </w:pPr>
            <w:r>
              <w:rPr>
                <w:rFonts w:hint="eastAsia" w:ascii="宋体" w:hAnsi="宋体" w:eastAsia="宋体" w:cs="宋体"/>
                <w:sz w:val="24"/>
                <w:szCs w:val="32"/>
              </w:rPr>
              <w:t>投标人所投产品如属于财政部、国家发展和改革委员会制定的最新一期《节能、环保产品政府采购清单》中的产品，且经过认证的节能、环保产品，应在投标文件显著位置列出某项/某些产品属于节能产品，并列明节能产品的生产厂家及产品品牌、型号并附节能环保目录证明材料及相关认证证书复印件并加盖单位公章，（开标时提供相关认证证书原件）否则不予认同；未按要求列明的，将不给予价格扣除的政策优惠；属于政府强制采购节能产品的，必须按照强制采购节能产品清单填报，否则按无效报价处理。</w:t>
            </w:r>
          </w:p>
          <w:p>
            <w:pPr>
              <w:numPr>
                <w:ilvl w:val="0"/>
                <w:numId w:val="3"/>
              </w:numPr>
              <w:tabs>
                <w:tab w:val="left" w:pos="488"/>
              </w:tabs>
              <w:spacing w:line="360" w:lineRule="auto"/>
              <w:rPr>
                <w:rFonts w:ascii="宋体" w:hAnsi="宋体" w:eastAsia="宋体" w:cs="宋体"/>
                <w:sz w:val="24"/>
              </w:rPr>
            </w:pPr>
            <w:r>
              <w:rPr>
                <w:rFonts w:hint="eastAsia" w:ascii="宋体" w:hAnsi="宋体" w:eastAsia="宋体" w:cs="宋体"/>
                <w:sz w:val="24"/>
              </w:rPr>
              <w:t>中小企业优惠办法</w:t>
            </w:r>
          </w:p>
          <w:p>
            <w:pPr>
              <w:numPr>
                <w:ilvl w:val="1"/>
                <w:numId w:val="4"/>
              </w:numPr>
              <w:tabs>
                <w:tab w:val="left" w:pos="569"/>
                <w:tab w:val="clear" w:pos="567"/>
              </w:tabs>
              <w:spacing w:line="360" w:lineRule="auto"/>
              <w:ind w:left="528" w:hanging="276"/>
              <w:rPr>
                <w:rFonts w:ascii="宋体" w:hAnsi="宋体" w:eastAsia="宋体" w:cs="宋体"/>
                <w:sz w:val="24"/>
              </w:rPr>
            </w:pPr>
            <w:r>
              <w:rPr>
                <w:rFonts w:hint="eastAsia" w:ascii="宋体" w:hAnsi="宋体" w:eastAsia="宋体" w:cs="宋体"/>
                <w:sz w:val="24"/>
              </w:rPr>
              <w:t>根据《政府采购促进中小企业发展暂行办法》的规定，本项目评标委员会在综合评审时将给予小微企业的评标价格6%的价格扣除；小微企业将以扣除后的评标价格参与价格得分的计算及评审；</w:t>
            </w:r>
          </w:p>
          <w:p>
            <w:pPr>
              <w:numPr>
                <w:ilvl w:val="1"/>
                <w:numId w:val="4"/>
              </w:numPr>
              <w:tabs>
                <w:tab w:val="left" w:pos="548"/>
                <w:tab w:val="clear" w:pos="567"/>
              </w:tabs>
              <w:spacing w:line="360" w:lineRule="auto"/>
              <w:ind w:left="548" w:hanging="296"/>
              <w:rPr>
                <w:rFonts w:ascii="宋体" w:hAnsi="宋体" w:eastAsia="宋体" w:cs="宋体"/>
                <w:sz w:val="24"/>
              </w:rPr>
            </w:pPr>
            <w:r>
              <w:rPr>
                <w:rFonts w:hint="eastAsia" w:ascii="宋体" w:hAnsi="宋体" w:eastAsia="宋体" w:cs="宋体"/>
                <w:sz w:val="24"/>
              </w:rPr>
              <w:t>具体计算方式为：小微企业的评标价格=其投标报价—投标报价*扣除比例；</w:t>
            </w:r>
          </w:p>
          <w:p>
            <w:pPr>
              <w:numPr>
                <w:ilvl w:val="1"/>
                <w:numId w:val="4"/>
              </w:numPr>
              <w:tabs>
                <w:tab w:val="left" w:pos="569"/>
                <w:tab w:val="clear" w:pos="567"/>
              </w:tabs>
              <w:spacing w:line="360" w:lineRule="auto"/>
              <w:ind w:left="528" w:hanging="276"/>
              <w:rPr>
                <w:rFonts w:ascii="宋体" w:hAnsi="宋体" w:eastAsia="宋体" w:cs="宋体"/>
                <w:sz w:val="24"/>
              </w:rPr>
            </w:pPr>
            <w:r>
              <w:rPr>
                <w:rFonts w:hint="eastAsia" w:ascii="宋体" w:hAnsi="宋体" w:eastAsia="宋体" w:cs="宋体"/>
                <w:sz w:val="24"/>
              </w:rPr>
              <w:t>如投标人为小微企业，应根据工业和信息化部、国家统计局、国家发展改革委、财政部《关于印发中小企业划型标准规定的通知》（工信部联企业〔2011〕300 号），结合本公司实际情况如实填写中小企业声明函，并在投标文件中提供声明函原件及相关证明材料原件；未按要求提供声明函原件及证明材料原件的，将不给予价格扣除的政策优惠；</w:t>
            </w:r>
          </w:p>
          <w:p>
            <w:pPr>
              <w:numPr>
                <w:ilvl w:val="1"/>
                <w:numId w:val="4"/>
              </w:numPr>
              <w:tabs>
                <w:tab w:val="left" w:pos="569"/>
                <w:tab w:val="clear" w:pos="567"/>
              </w:tabs>
              <w:spacing w:line="360" w:lineRule="auto"/>
              <w:ind w:left="528" w:hanging="276"/>
              <w:rPr>
                <w:rFonts w:ascii="宋体" w:hAnsi="宋体" w:eastAsia="宋体" w:cs="宋体"/>
                <w:sz w:val="24"/>
              </w:rPr>
            </w:pPr>
            <w:r>
              <w:rPr>
                <w:rFonts w:hint="eastAsia" w:ascii="宋体" w:hAnsi="宋体" w:eastAsia="宋体" w:cs="宋体"/>
                <w:sz w:val="24"/>
              </w:rPr>
              <w:t>按照《财政部 司法部关于政府采购支持监狱企业发展有关问题的通知》（财库【2014】68 号）文件规定，在政府采购活动中，监狱企业视同小型、微型企业，享受评审中价格扣除的政府采购政策。</w:t>
            </w:r>
          </w:p>
          <w:p>
            <w:pPr>
              <w:tabs>
                <w:tab w:val="left" w:pos="569"/>
              </w:tabs>
              <w:spacing w:line="360" w:lineRule="auto"/>
              <w:ind w:left="252"/>
              <w:rPr>
                <w:rFonts w:ascii="宋体" w:hAnsi="宋体" w:eastAsia="宋体" w:cs="宋体"/>
                <w:sz w:val="24"/>
              </w:rPr>
            </w:pPr>
            <w:r>
              <w:rPr>
                <w:rFonts w:hint="eastAsia" w:ascii="宋体" w:hAnsi="宋体" w:eastAsia="宋体" w:cs="宋体"/>
                <w:sz w:val="24"/>
              </w:rPr>
              <w:t>1.5.如发现投标人不如实填写小微企业声明函的，如中标将取消中标资格；同时采购人及采购代理机构有权向财政监管部门申请将其列入不诚信投标人名单并停止其参与一定期限的政府采购活动。</w:t>
            </w:r>
          </w:p>
          <w:p>
            <w:pPr>
              <w:tabs>
                <w:tab w:val="left" w:pos="569"/>
              </w:tabs>
              <w:spacing w:line="360" w:lineRule="auto"/>
              <w:rPr>
                <w:rFonts w:ascii="宋体" w:hAnsi="宋体" w:eastAsia="宋体" w:cs="宋体"/>
                <w:sz w:val="24"/>
              </w:rPr>
            </w:pPr>
            <w:r>
              <w:rPr>
                <w:rFonts w:hint="eastAsia" w:ascii="宋体" w:hAnsi="宋体" w:eastAsia="宋体" w:cs="宋体"/>
                <w:sz w:val="24"/>
              </w:rPr>
              <w:t>3.残疾人企业</w:t>
            </w:r>
          </w:p>
          <w:p>
            <w:pPr>
              <w:tabs>
                <w:tab w:val="left" w:pos="569"/>
              </w:tabs>
              <w:spacing w:line="360" w:lineRule="auto"/>
              <w:ind w:firstLine="240" w:firstLineChars="100"/>
              <w:rPr>
                <w:rFonts w:ascii="宋体" w:hAnsi="宋体" w:eastAsia="宋体" w:cs="宋体"/>
                <w:sz w:val="24"/>
              </w:rPr>
            </w:pPr>
            <w:r>
              <w:rPr>
                <w:rFonts w:hint="eastAsia" w:ascii="宋体" w:hAnsi="宋体" w:eastAsia="宋体" w:cs="宋体"/>
                <w:sz w:val="24"/>
              </w:rPr>
              <w:t>1）根据财库〔2017〕141号文件规定，在政府采购活动中，残疾人福利性单位视同小型、微型企业，享受预留份额、评审中价格扣除等促进中小企业发展的政府采购政策</w:t>
            </w:r>
          </w:p>
          <w:p>
            <w:pPr>
              <w:spacing w:line="360" w:lineRule="auto"/>
              <w:rPr>
                <w:rFonts w:asciiTheme="minorEastAsia" w:hAnsiTheme="minorEastAsia" w:eastAsiaTheme="minorEastAsia" w:cstheme="minorEastAsia"/>
                <w:sz w:val="24"/>
              </w:rPr>
            </w:pPr>
            <w:r>
              <w:rPr>
                <w:rFonts w:hint="eastAsia" w:ascii="宋体" w:hAnsi="宋体" w:eastAsia="宋体" w:cs="宋体"/>
                <w:sz w:val="24"/>
              </w:rPr>
              <w:t>评标价格仅为评定价格，不作为最终的中标价格。</w:t>
            </w:r>
          </w:p>
        </w:tc>
      </w:tr>
    </w:tbl>
    <w:p>
      <w:pPr>
        <w:spacing w:line="440" w:lineRule="exact"/>
        <w:outlineLvl w:val="1"/>
        <w:rPr>
          <w:rFonts w:ascii="宋体" w:hAnsi="宋体" w:eastAsia="宋体" w:cs="宋体"/>
          <w:b/>
          <w:bCs/>
          <w:sz w:val="28"/>
          <w:szCs w:val="28"/>
        </w:rPr>
      </w:pPr>
      <w:bookmarkStart w:id="4" w:name="_Toc3281"/>
      <w:bookmarkStart w:id="5" w:name="_Toc16665"/>
      <w:bookmarkStart w:id="6" w:name="_Toc12571"/>
      <w:bookmarkStart w:id="7" w:name="_Toc6859"/>
      <w:bookmarkStart w:id="8" w:name="_Toc30575"/>
      <w:bookmarkStart w:id="9" w:name="_Toc15358"/>
      <w:bookmarkStart w:id="10" w:name="_Toc183264285"/>
      <w:bookmarkStart w:id="11" w:name="_Toc2971"/>
      <w:bookmarkStart w:id="12" w:name="_Toc6263"/>
      <w:bookmarkStart w:id="13" w:name="_Toc16181"/>
      <w:bookmarkStart w:id="14" w:name="_Toc17524"/>
      <w:bookmarkStart w:id="15" w:name="_Toc6021"/>
      <w:bookmarkStart w:id="16" w:name="_Toc27128"/>
      <w:bookmarkStart w:id="17" w:name="_Toc144974497"/>
      <w:bookmarkStart w:id="18" w:name="_Toc179632546"/>
      <w:bookmarkStart w:id="19" w:name="_Toc294124157"/>
      <w:bookmarkStart w:id="20" w:name="_Toc152045529"/>
      <w:bookmarkStart w:id="21" w:name="_Toc152042305"/>
    </w:p>
    <w:p>
      <w:pPr>
        <w:pStyle w:val="9"/>
      </w:pPr>
    </w:p>
    <w:p/>
    <w:p/>
    <w:p/>
    <w:p/>
    <w:p/>
    <w:p/>
    <w:p/>
    <w:p/>
    <w:p/>
    <w:p/>
    <w:p/>
    <w:p/>
    <w:p/>
    <w:p/>
    <w:p/>
    <w:p>
      <w:pPr>
        <w:spacing w:line="440" w:lineRule="exact"/>
        <w:outlineLvl w:val="1"/>
        <w:rPr>
          <w:rFonts w:ascii="宋体" w:hAnsi="宋体" w:eastAsia="宋体" w:cs="宋体"/>
          <w:b/>
          <w:bCs/>
          <w:sz w:val="24"/>
        </w:rPr>
      </w:pPr>
      <w:r>
        <w:rPr>
          <w:rFonts w:hint="eastAsia" w:ascii="宋体" w:hAnsi="宋体" w:eastAsia="宋体" w:cs="宋体"/>
          <w:b/>
          <w:bCs/>
          <w:sz w:val="24"/>
        </w:rPr>
        <w:t>一、适用范围</w:t>
      </w:r>
    </w:p>
    <w:p>
      <w:pPr>
        <w:spacing w:line="440" w:lineRule="exact"/>
        <w:rPr>
          <w:rFonts w:ascii="宋体" w:hAnsi="宋体" w:eastAsia="宋体" w:cs="宋体"/>
          <w:sz w:val="24"/>
        </w:rPr>
      </w:pPr>
      <w:r>
        <w:rPr>
          <w:rFonts w:hint="eastAsia" w:ascii="宋体" w:hAnsi="宋体" w:eastAsia="宋体" w:cs="宋体"/>
          <w:sz w:val="24"/>
        </w:rPr>
        <w:t>本招标文件仅适用于本次招标公告中所叙述的项目。通过公开招标方式择优选择中标人。</w:t>
      </w:r>
    </w:p>
    <w:bookmarkEnd w:id="4"/>
    <w:bookmarkEnd w:id="5"/>
    <w:bookmarkEnd w:id="6"/>
    <w:bookmarkEnd w:id="7"/>
    <w:bookmarkEnd w:id="8"/>
    <w:bookmarkEnd w:id="9"/>
    <w:bookmarkEnd w:id="10"/>
    <w:bookmarkEnd w:id="11"/>
    <w:bookmarkEnd w:id="12"/>
    <w:bookmarkEnd w:id="13"/>
    <w:bookmarkEnd w:id="14"/>
    <w:bookmarkEnd w:id="15"/>
    <w:bookmarkEnd w:id="16"/>
    <w:p>
      <w:pPr>
        <w:spacing w:line="440" w:lineRule="exact"/>
        <w:outlineLvl w:val="1"/>
        <w:rPr>
          <w:rFonts w:ascii="宋体" w:hAnsi="宋体" w:eastAsia="宋体" w:cs="宋体"/>
          <w:b/>
          <w:bCs/>
          <w:sz w:val="24"/>
        </w:rPr>
      </w:pPr>
      <w:bookmarkStart w:id="22" w:name="_Toc17271"/>
      <w:bookmarkStart w:id="23" w:name="_Toc29647"/>
      <w:bookmarkStart w:id="24" w:name="_Toc12343"/>
      <w:bookmarkStart w:id="25" w:name="_Toc26902"/>
      <w:bookmarkStart w:id="26" w:name="_Toc32753"/>
      <w:bookmarkStart w:id="27" w:name="_Toc22833"/>
      <w:bookmarkStart w:id="28" w:name="_Toc8147"/>
      <w:bookmarkStart w:id="29" w:name="_Toc5398"/>
      <w:bookmarkStart w:id="30" w:name="_Toc8149"/>
      <w:bookmarkStart w:id="31" w:name="_Toc16016"/>
      <w:bookmarkStart w:id="32" w:name="_Toc3285"/>
      <w:bookmarkStart w:id="33" w:name="_Toc5891"/>
      <w:r>
        <w:rPr>
          <w:rFonts w:hint="eastAsia" w:ascii="宋体" w:hAnsi="宋体" w:eastAsia="宋体" w:cs="宋体"/>
          <w:b/>
          <w:bCs/>
          <w:sz w:val="24"/>
        </w:rPr>
        <w:t>二、定义</w:t>
      </w:r>
    </w:p>
    <w:p>
      <w:pPr>
        <w:spacing w:line="440" w:lineRule="exact"/>
        <w:rPr>
          <w:rFonts w:ascii="宋体" w:hAnsi="宋体" w:eastAsia="宋体" w:cs="宋体"/>
          <w:sz w:val="24"/>
        </w:rPr>
      </w:pPr>
      <w:r>
        <w:rPr>
          <w:rFonts w:hint="eastAsia" w:ascii="宋体" w:hAnsi="宋体" w:eastAsia="宋体" w:cs="宋体"/>
          <w:sz w:val="24"/>
        </w:rPr>
        <w:t>1.“招标人”系指济南市生态环境局。</w:t>
      </w:r>
    </w:p>
    <w:p>
      <w:pPr>
        <w:spacing w:line="440" w:lineRule="exact"/>
        <w:rPr>
          <w:rFonts w:ascii="宋体" w:hAnsi="宋体" w:eastAsia="宋体" w:cs="宋体"/>
          <w:sz w:val="24"/>
        </w:rPr>
      </w:pPr>
      <w:r>
        <w:rPr>
          <w:rFonts w:hint="eastAsia" w:ascii="宋体" w:hAnsi="宋体" w:eastAsia="宋体" w:cs="宋体"/>
          <w:sz w:val="24"/>
        </w:rPr>
        <w:t>2.“招标代理机构”系指山东蓝盾招标代理有限公司。</w:t>
      </w:r>
    </w:p>
    <w:p>
      <w:pPr>
        <w:spacing w:line="440" w:lineRule="exact"/>
        <w:rPr>
          <w:rFonts w:ascii="宋体" w:hAnsi="宋体" w:eastAsia="宋体" w:cs="宋体"/>
          <w:sz w:val="24"/>
        </w:rPr>
      </w:pPr>
      <w:r>
        <w:rPr>
          <w:rFonts w:hint="eastAsia" w:ascii="宋体" w:hAnsi="宋体" w:eastAsia="宋体" w:cs="宋体"/>
          <w:sz w:val="24"/>
        </w:rPr>
        <w:t>3.“投标人”系指响应招标并参加投标竞争的单位。</w:t>
      </w:r>
    </w:p>
    <w:p>
      <w:pPr>
        <w:spacing w:line="440" w:lineRule="exact"/>
        <w:rPr>
          <w:rFonts w:ascii="宋体" w:hAnsi="宋体" w:eastAsia="宋体" w:cs="宋体"/>
          <w:sz w:val="24"/>
        </w:rPr>
      </w:pPr>
      <w:r>
        <w:rPr>
          <w:rFonts w:hint="eastAsia" w:ascii="宋体" w:hAnsi="宋体" w:eastAsia="宋体" w:cs="宋体"/>
          <w:sz w:val="24"/>
        </w:rPr>
        <w:t>4.“中标单位”系指由评标委员会综合评审确定的取得与招标人签订合同资格的投标人。</w:t>
      </w:r>
    </w:p>
    <w:p>
      <w:pPr>
        <w:spacing w:line="440" w:lineRule="exact"/>
        <w:outlineLvl w:val="1"/>
        <w:rPr>
          <w:rFonts w:ascii="宋体" w:hAnsi="宋体" w:eastAsia="宋体" w:cs="宋体"/>
          <w:sz w:val="24"/>
        </w:rPr>
      </w:pPr>
      <w:r>
        <w:rPr>
          <w:rFonts w:hint="eastAsia" w:ascii="宋体" w:hAnsi="宋体" w:eastAsia="宋体" w:cs="宋体"/>
          <w:b/>
          <w:bCs/>
          <w:sz w:val="24"/>
        </w:rPr>
        <w:t>三、踏勘现场</w:t>
      </w:r>
      <w:bookmarkEnd w:id="22"/>
      <w:bookmarkEnd w:id="23"/>
      <w:bookmarkEnd w:id="24"/>
      <w:bookmarkEnd w:id="25"/>
      <w:bookmarkEnd w:id="26"/>
      <w:bookmarkEnd w:id="27"/>
      <w:bookmarkEnd w:id="28"/>
      <w:bookmarkEnd w:id="29"/>
      <w:bookmarkEnd w:id="30"/>
      <w:bookmarkEnd w:id="31"/>
      <w:bookmarkEnd w:id="32"/>
      <w:bookmarkEnd w:id="33"/>
    </w:p>
    <w:p>
      <w:pPr>
        <w:numPr>
          <w:ilvl w:val="0"/>
          <w:numId w:val="5"/>
        </w:numPr>
        <w:spacing w:line="440" w:lineRule="exact"/>
        <w:rPr>
          <w:rFonts w:ascii="宋体" w:hAnsi="宋体" w:eastAsia="宋体" w:cs="宋体"/>
          <w:sz w:val="24"/>
        </w:rPr>
      </w:pPr>
      <w:r>
        <w:rPr>
          <w:rFonts w:hint="eastAsia" w:ascii="宋体" w:hAnsi="宋体" w:eastAsia="宋体" w:cs="宋体"/>
          <w:sz w:val="24"/>
        </w:rPr>
        <w:t>勘察时间、地点详见前附表，踏勘现场所需车辆及相关费用自理。</w:t>
      </w:r>
    </w:p>
    <w:p>
      <w:pPr>
        <w:numPr>
          <w:ilvl w:val="0"/>
          <w:numId w:val="5"/>
        </w:numPr>
        <w:spacing w:line="440" w:lineRule="exact"/>
        <w:rPr>
          <w:rFonts w:ascii="宋体" w:hAnsi="宋体" w:eastAsia="宋体" w:cs="宋体"/>
          <w:sz w:val="24"/>
        </w:rPr>
      </w:pPr>
      <w:r>
        <w:rPr>
          <w:rFonts w:hint="eastAsia" w:ascii="宋体" w:hAnsi="宋体" w:eastAsia="宋体" w:cs="宋体"/>
          <w:sz w:val="24"/>
        </w:rPr>
        <w:t>投标人踏勘现场所获得的资料将被认为已了解了本项目的现场情况，掌握了编制报价文件的有关条件。招标人向投标人提供的有关现场的资料和数据，是招标人现有的能使投标人利用的资料。招标人对投标人由此而做出的推论、理解和结论概不负责。</w:t>
      </w:r>
    </w:p>
    <w:p>
      <w:pPr>
        <w:numPr>
          <w:ilvl w:val="0"/>
          <w:numId w:val="5"/>
        </w:numPr>
        <w:spacing w:line="440" w:lineRule="exact"/>
        <w:rPr>
          <w:rFonts w:ascii="宋体" w:hAnsi="宋体" w:eastAsia="宋体" w:cs="宋体"/>
          <w:sz w:val="24"/>
        </w:rPr>
      </w:pPr>
      <w:r>
        <w:rPr>
          <w:rFonts w:hint="eastAsia" w:ascii="宋体" w:hAnsi="宋体" w:eastAsia="宋体" w:cs="宋体"/>
          <w:sz w:val="24"/>
        </w:rPr>
        <w:t>投标人及其人员经过招标人的允许，可为踏勘目的进入招标人的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440" w:lineRule="exact"/>
        <w:outlineLvl w:val="1"/>
        <w:rPr>
          <w:rFonts w:ascii="宋体" w:hAnsi="宋体" w:eastAsia="宋体" w:cs="宋体"/>
          <w:b/>
          <w:bCs/>
          <w:sz w:val="24"/>
        </w:rPr>
      </w:pPr>
      <w:r>
        <w:rPr>
          <w:rFonts w:hint="eastAsia" w:ascii="宋体" w:hAnsi="宋体" w:eastAsia="宋体" w:cs="宋体"/>
          <w:b/>
          <w:bCs/>
          <w:sz w:val="24"/>
        </w:rPr>
        <w:t>四、招标文件说明</w:t>
      </w:r>
    </w:p>
    <w:p>
      <w:pPr>
        <w:spacing w:line="360" w:lineRule="auto"/>
        <w:rPr>
          <w:rFonts w:ascii="宋体" w:hAnsi="宋体" w:eastAsia="宋体" w:cs="宋体"/>
          <w:sz w:val="24"/>
        </w:rPr>
      </w:pPr>
      <w:r>
        <w:rPr>
          <w:rFonts w:hint="eastAsia" w:ascii="宋体" w:hAnsi="宋体" w:eastAsia="宋体" w:cs="宋体"/>
          <w:sz w:val="24"/>
        </w:rPr>
        <w:t>（一）招标文件的组成</w:t>
      </w:r>
    </w:p>
    <w:p>
      <w:pPr>
        <w:spacing w:line="360" w:lineRule="auto"/>
        <w:rPr>
          <w:rFonts w:ascii="宋体" w:hAnsi="宋体" w:eastAsia="宋体" w:cs="宋体"/>
          <w:sz w:val="24"/>
        </w:rPr>
      </w:pPr>
      <w:r>
        <w:rPr>
          <w:rFonts w:hint="eastAsia" w:ascii="宋体" w:hAnsi="宋体" w:eastAsia="宋体" w:cs="宋体"/>
          <w:sz w:val="24"/>
        </w:rPr>
        <w:t xml:space="preserve"> 1.招标公告</w:t>
      </w:r>
    </w:p>
    <w:p>
      <w:pPr>
        <w:spacing w:line="360" w:lineRule="auto"/>
        <w:rPr>
          <w:rFonts w:ascii="宋体" w:hAnsi="宋体" w:eastAsia="宋体" w:cs="宋体"/>
          <w:sz w:val="24"/>
        </w:rPr>
      </w:pPr>
      <w:r>
        <w:rPr>
          <w:rFonts w:hint="eastAsia" w:ascii="宋体" w:hAnsi="宋体" w:eastAsia="宋体" w:cs="宋体"/>
          <w:sz w:val="24"/>
        </w:rPr>
        <w:t xml:space="preserve"> 2.投标人须知</w:t>
      </w:r>
    </w:p>
    <w:p>
      <w:pPr>
        <w:spacing w:line="360" w:lineRule="auto"/>
        <w:jc w:val="left"/>
        <w:rPr>
          <w:rFonts w:ascii="宋体" w:hAnsi="宋体" w:eastAsia="宋体" w:cs="宋体"/>
          <w:sz w:val="24"/>
        </w:rPr>
      </w:pPr>
      <w:r>
        <w:rPr>
          <w:rFonts w:hint="eastAsia" w:ascii="宋体" w:hAnsi="宋体" w:eastAsia="宋体" w:cs="宋体"/>
          <w:sz w:val="24"/>
        </w:rPr>
        <w:t xml:space="preserve"> 3.项目说明</w:t>
      </w:r>
    </w:p>
    <w:p>
      <w:pPr>
        <w:spacing w:line="360" w:lineRule="auto"/>
        <w:jc w:val="left"/>
        <w:rPr>
          <w:rFonts w:ascii="宋体" w:hAnsi="宋体" w:eastAsia="宋体" w:cs="宋体"/>
          <w:sz w:val="24"/>
        </w:rPr>
      </w:pPr>
      <w:r>
        <w:rPr>
          <w:rFonts w:hint="eastAsia" w:ascii="宋体" w:hAnsi="宋体" w:eastAsia="宋体" w:cs="宋体"/>
          <w:sz w:val="24"/>
        </w:rPr>
        <w:t xml:space="preserve"> 4.开标、评标、定标</w:t>
      </w:r>
    </w:p>
    <w:p>
      <w:pPr>
        <w:spacing w:line="360" w:lineRule="auto"/>
        <w:jc w:val="left"/>
        <w:rPr>
          <w:rFonts w:ascii="宋体" w:hAnsi="宋体" w:eastAsia="宋体" w:cs="宋体"/>
          <w:sz w:val="24"/>
        </w:rPr>
      </w:pPr>
      <w:r>
        <w:rPr>
          <w:rFonts w:hint="eastAsia" w:ascii="宋体" w:hAnsi="宋体" w:eastAsia="宋体" w:cs="宋体"/>
          <w:sz w:val="24"/>
        </w:rPr>
        <w:t xml:space="preserve"> 5.合同格式</w:t>
      </w:r>
    </w:p>
    <w:p>
      <w:pPr>
        <w:spacing w:line="360" w:lineRule="auto"/>
        <w:jc w:val="left"/>
        <w:rPr>
          <w:rFonts w:ascii="宋体" w:hAnsi="宋体" w:eastAsia="宋体" w:cs="宋体"/>
          <w:sz w:val="24"/>
        </w:rPr>
      </w:pPr>
      <w:r>
        <w:rPr>
          <w:rFonts w:hint="eastAsia" w:ascii="宋体" w:hAnsi="宋体" w:eastAsia="宋体" w:cs="宋体"/>
          <w:sz w:val="24"/>
        </w:rPr>
        <w:t xml:space="preserve"> 6.投标文件格式</w:t>
      </w:r>
    </w:p>
    <w:p>
      <w:pPr>
        <w:spacing w:line="360" w:lineRule="auto"/>
        <w:rPr>
          <w:rFonts w:ascii="宋体" w:hAnsi="宋体" w:eastAsia="宋体" w:cs="宋体"/>
          <w:sz w:val="24"/>
        </w:rPr>
      </w:pPr>
      <w:r>
        <w:rPr>
          <w:rFonts w:hint="eastAsia" w:ascii="宋体" w:hAnsi="宋体" w:eastAsia="宋体" w:cs="宋体"/>
          <w:sz w:val="24"/>
        </w:rPr>
        <w:t xml:space="preserve"> 7.评分标准</w:t>
      </w:r>
    </w:p>
    <w:p>
      <w:pPr>
        <w:spacing w:line="360" w:lineRule="auto"/>
        <w:jc w:val="left"/>
        <w:rPr>
          <w:rFonts w:ascii="宋体" w:hAnsi="宋体" w:eastAsia="宋体" w:cs="宋体"/>
          <w:sz w:val="24"/>
        </w:rPr>
      </w:pPr>
      <w:r>
        <w:rPr>
          <w:rFonts w:hint="eastAsia" w:ascii="宋体" w:hAnsi="宋体" w:eastAsia="宋体" w:cs="宋体"/>
          <w:sz w:val="24"/>
        </w:rPr>
        <w:t xml:space="preserve"> 8.封面及密封包格式</w:t>
      </w:r>
    </w:p>
    <w:p>
      <w:pPr>
        <w:spacing w:line="360" w:lineRule="auto"/>
        <w:jc w:val="left"/>
        <w:rPr>
          <w:rFonts w:ascii="宋体" w:hAnsi="宋体" w:eastAsia="宋体" w:cs="宋体"/>
          <w:sz w:val="24"/>
        </w:rPr>
      </w:pPr>
      <w:r>
        <w:rPr>
          <w:rFonts w:hint="eastAsia" w:ascii="宋体" w:hAnsi="宋体" w:eastAsia="宋体" w:cs="宋体"/>
          <w:sz w:val="24"/>
        </w:rPr>
        <w:t>（二）招标文件的修改</w:t>
      </w:r>
    </w:p>
    <w:p>
      <w:pPr>
        <w:spacing w:line="360" w:lineRule="auto"/>
        <w:jc w:val="left"/>
        <w:rPr>
          <w:rFonts w:ascii="宋体" w:hAnsi="宋体" w:eastAsia="宋体" w:cs="宋体"/>
          <w:sz w:val="24"/>
        </w:rPr>
      </w:pPr>
      <w:r>
        <w:rPr>
          <w:rFonts w:hint="eastAsia" w:ascii="宋体" w:hAnsi="宋体" w:eastAsia="宋体" w:cs="宋体"/>
          <w:sz w:val="24"/>
        </w:rPr>
        <w:t>1.招标代理机构对招标文件必须修改的内容，需在招标文件要求提交投标文件截止时间15 日前，以书面形式通知已购买招标文件的所有投标人。补充文件将作为招标文件的组成部分，对所有投标人均具有约束力。</w:t>
      </w:r>
    </w:p>
    <w:p>
      <w:pPr>
        <w:spacing w:line="360" w:lineRule="auto"/>
        <w:jc w:val="left"/>
        <w:rPr>
          <w:rFonts w:ascii="宋体" w:hAnsi="宋体" w:eastAsia="宋体" w:cs="宋体"/>
          <w:sz w:val="24"/>
        </w:rPr>
      </w:pPr>
      <w:r>
        <w:rPr>
          <w:rFonts w:hint="eastAsia" w:ascii="宋体" w:hAnsi="宋体" w:eastAsia="宋体" w:cs="宋体"/>
          <w:sz w:val="24"/>
        </w:rPr>
        <w:t>2.为使投标人有足够的时间按招标文件的要求修改投标文件，招标代理机构可酌情推迟投标的截止时间和日期，并将此变更书面通知上述每一投标人。</w:t>
      </w:r>
    </w:p>
    <w:p>
      <w:pPr>
        <w:spacing w:line="360" w:lineRule="auto"/>
        <w:jc w:val="left"/>
        <w:rPr>
          <w:rFonts w:ascii="宋体" w:hAnsi="宋体" w:eastAsia="宋体" w:cs="宋体"/>
          <w:sz w:val="24"/>
        </w:rPr>
      </w:pPr>
      <w:r>
        <w:rPr>
          <w:rFonts w:hint="eastAsia" w:ascii="宋体" w:hAnsi="宋体" w:eastAsia="宋体" w:cs="宋体"/>
          <w:sz w:val="24"/>
        </w:rPr>
        <w:t>（三）招标文件的澄清</w:t>
      </w:r>
    </w:p>
    <w:p>
      <w:pPr>
        <w:spacing w:line="360" w:lineRule="auto"/>
        <w:ind w:firstLine="460" w:firstLineChars="192"/>
        <w:jc w:val="left"/>
        <w:rPr>
          <w:rFonts w:ascii="宋体" w:hAnsi="宋体" w:eastAsia="宋体" w:cs="宋体"/>
          <w:sz w:val="24"/>
        </w:rPr>
      </w:pPr>
      <w:r>
        <w:rPr>
          <w:rFonts w:hint="eastAsia" w:ascii="宋体" w:hAnsi="宋体" w:eastAsia="宋体" w:cs="宋体"/>
          <w:sz w:val="24"/>
        </w:rPr>
        <w:t>投标人对招标文件如有疑问可要求澄清，应在递交投标文件截止之日15 日前以书面形式向招标代理机构提出澄清要求，须将要求澄清内容发送电子邮件SDLDZBDL@163.com，并电话通知招标公告所列的联系人。招标代理机构将视情况采用适当方式予以澄清或以书面形式答复。在其认为必要时，将不标明查询来源的书面答复于投标截止时间15 日前发给所有购买招标文件的投标人。投标人在收到该澄清文件后应于当日内，以书面形式给予确认，逾期不确认视为认同。澄清或答复作为招标文件的组成部分，具有约束作用。在规定时间以后提出的澄清要求将不予受理。</w:t>
      </w:r>
    </w:p>
    <w:p>
      <w:pPr>
        <w:spacing w:line="360" w:lineRule="auto"/>
        <w:jc w:val="left"/>
        <w:outlineLvl w:val="1"/>
        <w:rPr>
          <w:rFonts w:ascii="宋体" w:hAnsi="宋体" w:eastAsia="宋体" w:cs="宋体"/>
          <w:b/>
          <w:bCs/>
          <w:sz w:val="24"/>
        </w:rPr>
      </w:pPr>
      <w:r>
        <w:rPr>
          <w:rFonts w:hint="eastAsia" w:ascii="宋体" w:hAnsi="宋体" w:eastAsia="宋体" w:cs="宋体"/>
          <w:b/>
          <w:bCs/>
          <w:sz w:val="24"/>
        </w:rPr>
        <w:t>五、投标文件的编写</w:t>
      </w:r>
    </w:p>
    <w:p>
      <w:pPr>
        <w:spacing w:line="360" w:lineRule="auto"/>
        <w:ind w:firstLine="460" w:firstLineChars="192"/>
        <w:jc w:val="left"/>
        <w:rPr>
          <w:rFonts w:ascii="宋体" w:hAnsi="宋体" w:eastAsia="宋体" w:cs="宋体"/>
          <w:sz w:val="24"/>
        </w:rPr>
      </w:pPr>
      <w:r>
        <w:rPr>
          <w:rFonts w:hint="eastAsia" w:ascii="宋体" w:hAnsi="宋体" w:eastAsia="宋体" w:cs="宋体"/>
          <w:sz w:val="24"/>
        </w:rPr>
        <w:t>投标人应仔细阅读招标文件的所有内容，按招标文件的要求提供投标文件，并保证所提供的全部资料的真实性、准确性及完整性，以使其投标对招标文件做出实质性响应。否则，其投标有可能被拒绝或被视为无效。</w:t>
      </w:r>
    </w:p>
    <w:p>
      <w:pPr>
        <w:spacing w:line="360" w:lineRule="auto"/>
        <w:jc w:val="left"/>
        <w:rPr>
          <w:rFonts w:ascii="宋体" w:hAnsi="宋体" w:eastAsia="宋体" w:cs="宋体"/>
          <w:sz w:val="24"/>
        </w:rPr>
      </w:pPr>
      <w:r>
        <w:rPr>
          <w:rFonts w:hint="eastAsia" w:ascii="宋体" w:hAnsi="宋体" w:eastAsia="宋体" w:cs="宋体"/>
          <w:sz w:val="24"/>
        </w:rPr>
        <w:t>（一）投标文件的组成</w:t>
      </w:r>
    </w:p>
    <w:p>
      <w:pPr>
        <w:spacing w:line="360" w:lineRule="auto"/>
        <w:ind w:firstLine="460" w:firstLineChars="192"/>
        <w:jc w:val="left"/>
        <w:rPr>
          <w:rFonts w:ascii="宋体" w:hAnsi="宋体" w:eastAsia="宋体" w:cs="宋体"/>
          <w:sz w:val="24"/>
        </w:rPr>
      </w:pPr>
      <w:r>
        <w:rPr>
          <w:rFonts w:hint="eastAsia" w:ascii="宋体" w:hAnsi="宋体" w:eastAsia="宋体" w:cs="宋体"/>
          <w:sz w:val="24"/>
        </w:rPr>
        <w:t>投标人应按招标文件的要求编写投标文件，提交证明其有资格进行投标和有能力履行合同的文件。投标文件由投标函部分、资格审查部分、商务部分、技术部分四部分组成。</w:t>
      </w:r>
    </w:p>
    <w:p>
      <w:pPr>
        <w:spacing w:line="360" w:lineRule="auto"/>
        <w:jc w:val="left"/>
        <w:rPr>
          <w:rFonts w:ascii="宋体" w:hAnsi="宋体" w:eastAsia="宋体" w:cs="宋体"/>
          <w:b/>
          <w:bCs/>
          <w:sz w:val="24"/>
        </w:rPr>
      </w:pPr>
      <w:r>
        <w:rPr>
          <w:rFonts w:hint="eastAsia" w:ascii="宋体" w:hAnsi="宋体" w:eastAsia="宋体" w:cs="宋体"/>
          <w:b/>
          <w:bCs/>
          <w:sz w:val="24"/>
        </w:rPr>
        <w:t>1.投标函部分</w:t>
      </w:r>
    </w:p>
    <w:p>
      <w:pPr>
        <w:spacing w:line="360" w:lineRule="auto"/>
        <w:jc w:val="left"/>
        <w:rPr>
          <w:rFonts w:ascii="宋体" w:hAnsi="宋体" w:eastAsia="宋体" w:cs="宋体"/>
          <w:sz w:val="24"/>
        </w:rPr>
      </w:pPr>
      <w:r>
        <w:rPr>
          <w:rFonts w:hint="eastAsia" w:ascii="宋体" w:hAnsi="宋体" w:eastAsia="宋体" w:cs="宋体"/>
          <w:sz w:val="24"/>
        </w:rPr>
        <w:t>（1）投标函；</w:t>
      </w:r>
    </w:p>
    <w:p>
      <w:pPr>
        <w:spacing w:line="360" w:lineRule="auto"/>
        <w:jc w:val="left"/>
        <w:rPr>
          <w:rFonts w:ascii="宋体" w:hAnsi="宋体" w:eastAsia="宋体" w:cs="宋体"/>
          <w:sz w:val="24"/>
        </w:rPr>
      </w:pPr>
      <w:r>
        <w:rPr>
          <w:rFonts w:hint="eastAsia" w:ascii="宋体" w:hAnsi="宋体" w:eastAsia="宋体" w:cs="宋体"/>
          <w:sz w:val="24"/>
        </w:rPr>
        <w:t>（2）法定代表人授权委托书，如法定代表人参加投标，提供法定代表人证书复印件或身份证复印件（加盖公章）；</w:t>
      </w:r>
    </w:p>
    <w:p>
      <w:pPr>
        <w:spacing w:line="360" w:lineRule="auto"/>
        <w:jc w:val="left"/>
        <w:rPr>
          <w:rFonts w:ascii="宋体" w:hAnsi="宋体" w:eastAsia="宋体" w:cs="宋体"/>
          <w:sz w:val="24"/>
        </w:rPr>
      </w:pPr>
      <w:r>
        <w:rPr>
          <w:rFonts w:hint="eastAsia" w:ascii="宋体" w:hAnsi="宋体" w:eastAsia="宋体" w:cs="宋体"/>
          <w:sz w:val="24"/>
        </w:rPr>
        <w:t>（3）唱标一览表。</w:t>
      </w:r>
    </w:p>
    <w:p>
      <w:pPr>
        <w:spacing w:line="360" w:lineRule="auto"/>
        <w:jc w:val="left"/>
        <w:rPr>
          <w:rFonts w:ascii="宋体" w:hAnsi="宋体" w:eastAsia="宋体" w:cs="宋体"/>
          <w:b/>
          <w:bCs/>
          <w:sz w:val="24"/>
        </w:rPr>
      </w:pPr>
      <w:r>
        <w:rPr>
          <w:rFonts w:hint="eastAsia" w:ascii="宋体" w:hAnsi="宋体" w:eastAsia="宋体" w:cs="宋体"/>
          <w:b/>
          <w:bCs/>
          <w:sz w:val="24"/>
        </w:rPr>
        <w:t>2.资格审查部分</w:t>
      </w:r>
    </w:p>
    <w:p>
      <w:pPr>
        <w:spacing w:line="360" w:lineRule="auto"/>
        <w:jc w:val="left"/>
        <w:rPr>
          <w:rFonts w:ascii="宋体" w:hAnsi="宋体" w:eastAsia="宋体" w:cs="宋体"/>
          <w:sz w:val="24"/>
        </w:rPr>
      </w:pPr>
      <w:r>
        <w:rPr>
          <w:rFonts w:hint="eastAsia" w:ascii="宋体" w:hAnsi="宋体" w:eastAsia="宋体" w:cs="宋体"/>
          <w:sz w:val="24"/>
        </w:rPr>
        <w:t>以下内容要求投标人在报价文件中附加盖公章的复印件：</w:t>
      </w:r>
    </w:p>
    <w:p>
      <w:pPr>
        <w:spacing w:line="360" w:lineRule="auto"/>
        <w:jc w:val="left"/>
        <w:rPr>
          <w:rFonts w:ascii="宋体" w:hAnsi="宋体" w:eastAsia="宋体" w:cs="宋体"/>
          <w:sz w:val="24"/>
        </w:rPr>
      </w:pPr>
      <w:r>
        <w:rPr>
          <w:rFonts w:hint="eastAsia" w:ascii="宋体" w:hAnsi="宋体" w:eastAsia="宋体" w:cs="宋体"/>
          <w:sz w:val="24"/>
        </w:rPr>
        <w:t>1、资格证明文件</w:t>
      </w:r>
    </w:p>
    <w:p>
      <w:pPr>
        <w:spacing w:line="360" w:lineRule="auto"/>
        <w:jc w:val="left"/>
        <w:rPr>
          <w:rFonts w:ascii="宋体" w:hAnsi="宋体" w:eastAsia="宋体" w:cs="宋体"/>
          <w:sz w:val="24"/>
        </w:rPr>
      </w:pPr>
      <w:r>
        <w:rPr>
          <w:rFonts w:hint="eastAsia" w:ascii="宋体" w:hAnsi="宋体" w:eastAsia="宋体" w:cs="宋体"/>
          <w:sz w:val="24"/>
        </w:rPr>
        <w:t>（1）企业营业执照副本复印件加盖公章；</w:t>
      </w:r>
    </w:p>
    <w:p>
      <w:pPr>
        <w:spacing w:line="360" w:lineRule="auto"/>
        <w:jc w:val="left"/>
        <w:rPr>
          <w:rFonts w:ascii="宋体" w:hAnsi="宋体" w:eastAsia="宋体" w:cs="宋体"/>
          <w:sz w:val="24"/>
        </w:rPr>
      </w:pPr>
      <w:r>
        <w:rPr>
          <w:rFonts w:hint="eastAsia" w:ascii="宋体" w:hAnsi="宋体" w:eastAsia="宋体" w:cs="宋体"/>
          <w:sz w:val="24"/>
        </w:rPr>
        <w:t>（2）</w:t>
      </w:r>
      <w:r>
        <w:rPr>
          <w:rFonts w:hint="eastAsia" w:asciiTheme="minorEastAsia" w:hAnsiTheme="minorEastAsia" w:eastAsiaTheme="minorEastAsia" w:cstheme="minorEastAsia"/>
          <w:sz w:val="24"/>
        </w:rPr>
        <w:t>2017</w:t>
      </w:r>
      <w:r>
        <w:rPr>
          <w:rFonts w:hint="eastAsia" w:asciiTheme="minorEastAsia" w:hAnsiTheme="minorEastAsia" w:eastAsiaTheme="minorEastAsia" w:cstheme="minorEastAsia"/>
          <w:sz w:val="24"/>
          <w:lang w:eastAsia="zh-CN"/>
        </w:rPr>
        <w:t>或</w:t>
      </w:r>
      <w:r>
        <w:rPr>
          <w:rFonts w:hint="eastAsia" w:asciiTheme="minorEastAsia" w:hAnsiTheme="minorEastAsia" w:eastAsiaTheme="minorEastAsia" w:cstheme="minorEastAsia"/>
          <w:sz w:val="24"/>
        </w:rPr>
        <w:t>2018年财务状况报告复印件，其他组织或投标人新成立不足两年，提供银行出具的资信证明材料复印件；</w:t>
      </w:r>
    </w:p>
    <w:p>
      <w:pPr>
        <w:spacing w:line="360" w:lineRule="auto"/>
        <w:jc w:val="left"/>
        <w:rPr>
          <w:rFonts w:asciiTheme="minorEastAsia" w:hAnsiTheme="minorEastAsia" w:eastAsiaTheme="minorEastAsia" w:cstheme="minorEastAsia"/>
          <w:kern w:val="0"/>
          <w:sz w:val="24"/>
        </w:rPr>
      </w:pPr>
      <w:r>
        <w:rPr>
          <w:rFonts w:hint="eastAsia" w:ascii="宋体" w:hAnsi="宋体" w:eastAsia="宋体" w:cs="宋体"/>
          <w:sz w:val="24"/>
        </w:rPr>
        <w:t>（3）</w:t>
      </w:r>
      <w:r>
        <w:rPr>
          <w:rFonts w:hint="eastAsia" w:asciiTheme="minorEastAsia" w:hAnsiTheme="minorEastAsia" w:eastAsiaTheme="minorEastAsia" w:cstheme="minorEastAsia"/>
          <w:kern w:val="0"/>
          <w:sz w:val="24"/>
        </w:rPr>
        <w:t>2018年09月至今任意连续三个月完税证明</w:t>
      </w:r>
      <w:r>
        <w:rPr>
          <w:rFonts w:hint="eastAsia" w:asciiTheme="minorEastAsia" w:hAnsiTheme="minorEastAsia" w:eastAsiaTheme="minorEastAsia" w:cstheme="minorEastAsia"/>
          <w:sz w:val="24"/>
        </w:rPr>
        <w:t>材料复印件；如依法免税的，应提供</w:t>
      </w:r>
      <w:r>
        <w:rPr>
          <w:rFonts w:hint="eastAsia" w:asciiTheme="minorEastAsia" w:hAnsiTheme="minorEastAsia" w:eastAsiaTheme="minorEastAsia" w:cstheme="minorEastAsia"/>
          <w:kern w:val="0"/>
          <w:sz w:val="24"/>
        </w:rPr>
        <w:t>相应文件证明其依法免税；</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（4）2018年09月至今任意连续三个月的缴纳社会保险的凭据证明材料复印件；如依法不需要缴纳社会保障资金的，应提供相应文件证明其依法不需要缴纳社会保障资金；</w:t>
      </w:r>
    </w:p>
    <w:p>
      <w:pPr>
        <w:numPr>
          <w:ilvl w:val="0"/>
          <w:numId w:val="6"/>
        </w:numPr>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参加政府采购前三年内，在经营活动中没有重大违法记录声明复印件加盖公章；</w:t>
      </w:r>
    </w:p>
    <w:p>
      <w:pPr>
        <w:numPr>
          <w:ilvl w:val="0"/>
          <w:numId w:val="6"/>
        </w:num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法人授权委托书及受委托人身份证</w:t>
      </w:r>
    </w:p>
    <w:p>
      <w:pPr>
        <w:spacing w:line="360" w:lineRule="auto"/>
        <w:jc w:val="left"/>
        <w:rPr>
          <w:rFonts w:ascii="宋体" w:hAnsi="宋体" w:eastAsia="宋体" w:cs="宋体"/>
          <w:b/>
          <w:bCs/>
          <w:sz w:val="24"/>
        </w:rPr>
      </w:pPr>
      <w:r>
        <w:rPr>
          <w:rFonts w:hint="eastAsia" w:ascii="宋体" w:hAnsi="宋体" w:eastAsia="宋体" w:cs="宋体"/>
          <w:b/>
          <w:bCs/>
          <w:sz w:val="24"/>
        </w:rPr>
        <w:t>3、商务部分</w:t>
      </w:r>
    </w:p>
    <w:p>
      <w:pPr>
        <w:pStyle w:val="33"/>
        <w:spacing w:line="360" w:lineRule="auto"/>
        <w:ind w:firstLine="0" w:firstLineChars="0"/>
        <w:rPr>
          <w:rFonts w:ascii="宋体" w:hAnsi="宋体" w:eastAsia="宋体" w:cs="宋体"/>
          <w:szCs w:val="24"/>
        </w:rPr>
      </w:pPr>
      <w:r>
        <w:rPr>
          <w:rFonts w:hint="eastAsia" w:ascii="宋体" w:hAnsi="宋体" w:eastAsia="宋体" w:cs="宋体"/>
          <w:szCs w:val="24"/>
        </w:rPr>
        <w:t>（1）报价函；</w:t>
      </w:r>
    </w:p>
    <w:p>
      <w:pPr>
        <w:pStyle w:val="33"/>
        <w:spacing w:line="360" w:lineRule="auto"/>
        <w:ind w:firstLine="0" w:firstLineChars="0"/>
        <w:rPr>
          <w:rFonts w:ascii="宋体" w:hAnsi="宋体" w:eastAsia="宋体" w:cs="宋体"/>
          <w:szCs w:val="24"/>
        </w:rPr>
      </w:pPr>
      <w:r>
        <w:rPr>
          <w:rFonts w:hint="eastAsia" w:ascii="宋体" w:hAnsi="宋体" w:eastAsia="宋体" w:cs="宋体"/>
          <w:szCs w:val="24"/>
        </w:rPr>
        <w:t>（2）报价一览表；</w:t>
      </w:r>
    </w:p>
    <w:p>
      <w:pPr>
        <w:pStyle w:val="33"/>
        <w:spacing w:line="360" w:lineRule="auto"/>
        <w:ind w:firstLine="0" w:firstLineChars="0"/>
        <w:rPr>
          <w:rFonts w:ascii="宋体" w:hAnsi="宋体" w:eastAsia="宋体" w:cs="宋体"/>
          <w:szCs w:val="24"/>
        </w:rPr>
      </w:pPr>
      <w:r>
        <w:rPr>
          <w:rFonts w:hint="eastAsia" w:ascii="宋体" w:hAnsi="宋体" w:eastAsia="宋体" w:cs="宋体"/>
          <w:szCs w:val="24"/>
        </w:rPr>
        <w:t>（3）报价明细表，包含：设备费、人员工资、人员社保、税金、管理费等（格式自拟）；</w:t>
      </w:r>
    </w:p>
    <w:p>
      <w:pPr>
        <w:pStyle w:val="33"/>
        <w:spacing w:line="360" w:lineRule="auto"/>
        <w:ind w:firstLine="0" w:firstLineChars="0"/>
        <w:rPr>
          <w:rFonts w:ascii="宋体" w:hAnsi="宋体" w:eastAsia="宋体" w:cs="宋体"/>
          <w:szCs w:val="24"/>
        </w:rPr>
      </w:pPr>
      <w:r>
        <w:rPr>
          <w:rFonts w:hint="eastAsia" w:ascii="宋体" w:hAnsi="宋体" w:eastAsia="宋体" w:cs="宋体"/>
          <w:szCs w:val="24"/>
        </w:rPr>
        <w:t>（4）服务条款偏离表；</w:t>
      </w:r>
    </w:p>
    <w:p>
      <w:pPr>
        <w:pStyle w:val="33"/>
        <w:spacing w:line="360" w:lineRule="auto"/>
        <w:ind w:firstLine="0" w:firstLineChars="0"/>
        <w:rPr>
          <w:rFonts w:ascii="宋体" w:hAnsi="宋体" w:eastAsia="宋体" w:cs="宋体"/>
          <w:szCs w:val="24"/>
        </w:rPr>
      </w:pPr>
      <w:r>
        <w:rPr>
          <w:rFonts w:hint="eastAsia" w:ascii="宋体" w:hAnsi="宋体" w:eastAsia="宋体" w:cs="宋体"/>
          <w:szCs w:val="24"/>
        </w:rPr>
        <w:t>（5）商务条款偏离表；</w:t>
      </w:r>
    </w:p>
    <w:p>
      <w:pPr>
        <w:pStyle w:val="33"/>
        <w:spacing w:line="360" w:lineRule="auto"/>
        <w:ind w:firstLine="0" w:firstLineChars="0"/>
        <w:rPr>
          <w:rFonts w:ascii="宋体" w:hAnsi="宋体" w:eastAsia="宋体" w:cs="宋体"/>
          <w:szCs w:val="24"/>
        </w:rPr>
      </w:pPr>
      <w:r>
        <w:rPr>
          <w:rFonts w:hint="eastAsia" w:ascii="宋体" w:hAnsi="宋体" w:eastAsia="宋体" w:cs="宋体"/>
          <w:spacing w:val="0"/>
          <w:kern w:val="2"/>
          <w:szCs w:val="24"/>
        </w:rPr>
        <w:t>（6）投标人在过去三年中完成的类似项目情况和现在正在履行的合同情况；</w:t>
      </w:r>
    </w:p>
    <w:p>
      <w:pPr>
        <w:spacing w:line="360" w:lineRule="auto"/>
        <w:rPr>
          <w:rFonts w:ascii="宋体" w:hAnsi="宋体" w:eastAsia="宋体" w:cs="宋体"/>
          <w:sz w:val="24"/>
        </w:rPr>
      </w:pPr>
      <w:r>
        <w:rPr>
          <w:rFonts w:hint="eastAsia" w:ascii="宋体" w:hAnsi="宋体" w:eastAsia="宋体" w:cs="宋体"/>
          <w:sz w:val="24"/>
        </w:rPr>
        <w:t>（7）投标人认为应该提供的其他内容。</w:t>
      </w:r>
    </w:p>
    <w:p>
      <w:pPr>
        <w:spacing w:line="360" w:lineRule="auto"/>
        <w:jc w:val="left"/>
        <w:rPr>
          <w:rFonts w:ascii="宋体" w:hAnsi="宋体" w:eastAsia="宋体" w:cs="宋体"/>
          <w:b/>
          <w:bCs/>
          <w:sz w:val="24"/>
        </w:rPr>
      </w:pPr>
      <w:r>
        <w:rPr>
          <w:rFonts w:hint="eastAsia" w:ascii="宋体" w:hAnsi="宋体" w:eastAsia="宋体" w:cs="宋体"/>
          <w:b/>
          <w:bCs/>
          <w:sz w:val="24"/>
        </w:rPr>
        <w:t xml:space="preserve"> 4.技术部分</w:t>
      </w:r>
    </w:p>
    <w:p>
      <w:pPr>
        <w:pStyle w:val="34"/>
        <w:spacing w:line="360" w:lineRule="auto"/>
        <w:jc w:val="both"/>
        <w:outlineLvl w:val="1"/>
        <w:rPr>
          <w:rFonts w:ascii="宋体" w:hAnsi="宋体" w:eastAsia="宋体" w:cs="宋体"/>
          <w:sz w:val="24"/>
        </w:rPr>
      </w:pPr>
      <w:r>
        <w:rPr>
          <w:rFonts w:hint="eastAsia" w:ascii="宋体" w:hAnsi="宋体" w:eastAsia="宋体" w:cs="宋体"/>
          <w:sz w:val="24"/>
        </w:rPr>
        <w:t>应表明与全过程服务有关的经验和能力，以及对招标范围内提出的任务的理解，其主要内容包括但不限于：</w:t>
      </w:r>
    </w:p>
    <w:p>
      <w:pPr>
        <w:pStyle w:val="34"/>
        <w:numPr>
          <w:ilvl w:val="0"/>
          <w:numId w:val="7"/>
        </w:numPr>
        <w:spacing w:line="360" w:lineRule="auto"/>
        <w:jc w:val="both"/>
        <w:outlineLvl w:val="1"/>
        <w:rPr>
          <w:rFonts w:ascii="宋体" w:hAnsi="宋体" w:eastAsia="宋体" w:cs="宋体"/>
          <w:sz w:val="24"/>
        </w:rPr>
      </w:pPr>
      <w:r>
        <w:rPr>
          <w:rFonts w:hint="eastAsia" w:ascii="宋体" w:hAnsi="宋体" w:eastAsia="宋体" w:cs="宋体"/>
          <w:sz w:val="24"/>
        </w:rPr>
        <w:t>项目概述；</w:t>
      </w:r>
    </w:p>
    <w:p>
      <w:pPr>
        <w:pStyle w:val="34"/>
        <w:numPr>
          <w:ilvl w:val="0"/>
          <w:numId w:val="7"/>
        </w:numPr>
        <w:spacing w:line="360" w:lineRule="auto"/>
        <w:jc w:val="both"/>
        <w:outlineLvl w:val="1"/>
        <w:rPr>
          <w:rFonts w:ascii="宋体" w:hAnsi="宋体" w:eastAsia="宋体" w:cs="宋体"/>
          <w:sz w:val="24"/>
        </w:rPr>
      </w:pPr>
      <w:r>
        <w:rPr>
          <w:rFonts w:hint="eastAsia" w:ascii="宋体" w:hAnsi="宋体" w:eastAsia="宋体" w:cs="宋体"/>
          <w:sz w:val="24"/>
        </w:rPr>
        <w:t>服务方案；</w:t>
      </w:r>
    </w:p>
    <w:p>
      <w:pPr>
        <w:tabs>
          <w:tab w:val="left" w:pos="836"/>
        </w:tabs>
        <w:spacing w:line="360" w:lineRule="auto"/>
        <w:rPr>
          <w:rFonts w:ascii="宋体" w:hAnsi="宋体" w:cs="宋体"/>
          <w:sz w:val="24"/>
        </w:rPr>
      </w:pPr>
      <w:r>
        <w:rPr>
          <w:rFonts w:hint="eastAsia" w:ascii="宋体" w:hAnsi="宋体" w:cs="宋体"/>
          <w:sz w:val="24"/>
        </w:rPr>
        <w:t>（3）项目人员配置情况；</w:t>
      </w:r>
    </w:p>
    <w:p>
      <w:pPr>
        <w:tabs>
          <w:tab w:val="left" w:pos="836"/>
        </w:tabs>
        <w:spacing w:line="360" w:lineRule="auto"/>
        <w:rPr>
          <w:rFonts w:ascii="宋体" w:hAnsi="宋体" w:cs="宋体"/>
          <w:sz w:val="24"/>
        </w:rPr>
      </w:pPr>
      <w:r>
        <w:rPr>
          <w:rFonts w:hint="eastAsia" w:ascii="宋体" w:hAnsi="宋体" w:cs="宋体"/>
          <w:sz w:val="24"/>
        </w:rPr>
        <w:t>（4）工期及保障方案；</w:t>
      </w:r>
    </w:p>
    <w:p>
      <w:pPr>
        <w:tabs>
          <w:tab w:val="left" w:pos="836"/>
        </w:tabs>
        <w:spacing w:line="360" w:lineRule="auto"/>
        <w:rPr>
          <w:rFonts w:ascii="宋体" w:hAnsi="宋体" w:cs="宋体"/>
          <w:sz w:val="24"/>
        </w:rPr>
      </w:pPr>
      <w:r>
        <w:rPr>
          <w:rFonts w:hint="eastAsia" w:ascii="宋体" w:hAnsi="宋体" w:cs="宋体"/>
          <w:sz w:val="24"/>
        </w:rPr>
        <w:t>（5）</w:t>
      </w:r>
      <w:r>
        <w:rPr>
          <w:rFonts w:hint="eastAsia" w:ascii="宋体" w:hAnsi="宋体" w:eastAsia="宋体" w:cs="宋体"/>
          <w:sz w:val="24"/>
        </w:rPr>
        <w:t>项目方案所需相关活动内容的详细设备设施清单</w:t>
      </w:r>
      <w:r>
        <w:rPr>
          <w:rFonts w:hint="eastAsia" w:ascii="宋体" w:hAnsi="宋体" w:cs="宋体"/>
          <w:sz w:val="24"/>
        </w:rPr>
        <w:t>；</w:t>
      </w:r>
    </w:p>
    <w:p>
      <w:pPr>
        <w:tabs>
          <w:tab w:val="left" w:pos="836"/>
        </w:tabs>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w:t>
      </w:r>
      <w:r>
        <w:rPr>
          <w:rFonts w:hint="eastAsia" w:ascii="宋体" w:hAnsi="宋体" w:cs="宋体"/>
          <w:sz w:val="24"/>
        </w:rPr>
        <w:t>供应商基本管理措施；</w:t>
      </w:r>
    </w:p>
    <w:p>
      <w:pPr>
        <w:pStyle w:val="34"/>
        <w:spacing w:line="360" w:lineRule="auto"/>
        <w:jc w:val="both"/>
        <w:outlineLvl w:val="1"/>
        <w:rPr>
          <w:rFonts w:ascii="宋体" w:hAnsi="宋体" w:eastAsia="宋体" w:cs="宋体"/>
          <w:sz w:val="24"/>
        </w:rPr>
      </w:pPr>
      <w:r>
        <w:rPr>
          <w:rFonts w:hint="eastAsia" w:ascii="宋体" w:hAnsi="宋体" w:eastAsia="宋体" w:cs="宋体"/>
          <w:sz w:val="24"/>
        </w:rPr>
        <w:t>（7）供应商认为需要加以说明的其他内容</w:t>
      </w:r>
      <w:r>
        <w:rPr>
          <w:rFonts w:hint="eastAsia" w:ascii="宋体" w:hAnsi="宋体" w:eastAsia="宋体" w:cs="宋体"/>
          <w:sz w:val="24"/>
          <w:lang w:eastAsia="zh-CN"/>
        </w:rPr>
        <w:t>（售后服务承诺、综合保障能力等</w:t>
      </w:r>
      <w:bookmarkStart w:id="182" w:name="_GoBack"/>
      <w:bookmarkEnd w:id="182"/>
      <w:r>
        <w:rPr>
          <w:rFonts w:hint="eastAsia" w:ascii="宋体" w:hAnsi="宋体" w:eastAsia="宋体" w:cs="宋体"/>
          <w:sz w:val="24"/>
          <w:lang w:eastAsia="zh-CN"/>
        </w:rPr>
        <w:t>）</w:t>
      </w:r>
      <w:r>
        <w:rPr>
          <w:rFonts w:hint="eastAsia" w:ascii="宋体" w:hAnsi="宋体" w:eastAsia="宋体" w:cs="宋体"/>
          <w:sz w:val="24"/>
        </w:rPr>
        <w:t xml:space="preserve">。 </w:t>
      </w:r>
    </w:p>
    <w:p>
      <w:pPr>
        <w:pStyle w:val="34"/>
        <w:spacing w:line="360" w:lineRule="auto"/>
        <w:jc w:val="both"/>
        <w:outlineLvl w:val="1"/>
        <w:rPr>
          <w:rFonts w:ascii="宋体" w:hAnsi="宋体" w:eastAsia="宋体" w:cs="宋体"/>
          <w:sz w:val="24"/>
          <w:lang w:val="en-GB"/>
        </w:rPr>
      </w:pPr>
      <w:r>
        <w:rPr>
          <w:rFonts w:hint="eastAsia" w:ascii="宋体" w:hAnsi="宋体" w:eastAsia="宋体" w:cs="宋体"/>
          <w:sz w:val="24"/>
          <w:lang w:val="en-GB"/>
        </w:rPr>
        <w:t>（</w:t>
      </w:r>
      <w:r>
        <w:rPr>
          <w:rFonts w:hint="eastAsia" w:ascii="宋体" w:hAnsi="宋体" w:eastAsia="宋体" w:cs="宋体"/>
          <w:sz w:val="24"/>
        </w:rPr>
        <w:t>8</w:t>
      </w:r>
      <w:r>
        <w:rPr>
          <w:rFonts w:hint="eastAsia" w:ascii="宋体" w:hAnsi="宋体" w:eastAsia="宋体" w:cs="宋体"/>
          <w:sz w:val="24"/>
          <w:lang w:val="en-GB"/>
        </w:rPr>
        <w:t>）投标设备配件、耗材、选件表和备件及特殊工具清单；</w:t>
      </w:r>
    </w:p>
    <w:p>
      <w:pPr>
        <w:spacing w:line="360" w:lineRule="auto"/>
        <w:jc w:val="left"/>
        <w:rPr>
          <w:rFonts w:ascii="宋体" w:hAnsi="宋体" w:eastAsia="宋体" w:cs="宋体"/>
          <w:sz w:val="24"/>
        </w:rPr>
      </w:pPr>
      <w:r>
        <w:rPr>
          <w:rFonts w:hint="eastAsia" w:ascii="宋体" w:hAnsi="宋体" w:eastAsia="宋体" w:cs="宋体"/>
          <w:sz w:val="24"/>
        </w:rPr>
        <w:t>（二）投标文件的编写方式</w:t>
      </w:r>
    </w:p>
    <w:p>
      <w:pPr>
        <w:spacing w:line="360" w:lineRule="auto"/>
        <w:jc w:val="left"/>
        <w:rPr>
          <w:rFonts w:ascii="宋体" w:hAnsi="宋体" w:eastAsia="宋体" w:cs="宋体"/>
          <w:sz w:val="24"/>
        </w:rPr>
      </w:pPr>
      <w:r>
        <w:rPr>
          <w:rFonts w:hint="eastAsia" w:ascii="宋体" w:hAnsi="宋体" w:eastAsia="宋体" w:cs="宋体"/>
          <w:sz w:val="24"/>
        </w:rPr>
        <w:t>1.投标文件按以上顺序装订成册（投标文件必须为胶装，未胶装的投标文件视为无效投</w:t>
      </w:r>
    </w:p>
    <w:p>
      <w:pPr>
        <w:spacing w:line="360" w:lineRule="auto"/>
        <w:jc w:val="left"/>
        <w:rPr>
          <w:rFonts w:ascii="宋体" w:hAnsi="宋体" w:eastAsia="宋体" w:cs="宋体"/>
          <w:sz w:val="24"/>
        </w:rPr>
      </w:pPr>
      <w:r>
        <w:rPr>
          <w:rFonts w:hint="eastAsia" w:ascii="宋体" w:hAnsi="宋体" w:eastAsia="宋体" w:cs="宋体"/>
          <w:sz w:val="24"/>
        </w:rPr>
        <w:t xml:space="preserve">  标。），并在首页编制“投标文件目录”。资格后审文件单独胶装成册，单独密封。</w:t>
      </w:r>
    </w:p>
    <w:p>
      <w:pPr>
        <w:spacing w:line="360" w:lineRule="auto"/>
        <w:jc w:val="left"/>
        <w:rPr>
          <w:rFonts w:ascii="宋体" w:hAnsi="宋体" w:eastAsia="宋体" w:cs="宋体"/>
          <w:sz w:val="24"/>
        </w:rPr>
      </w:pPr>
      <w:r>
        <w:rPr>
          <w:rFonts w:hint="eastAsia" w:ascii="宋体" w:hAnsi="宋体" w:eastAsia="宋体" w:cs="宋体"/>
          <w:sz w:val="24"/>
        </w:rPr>
        <w:t>2.投标文件正本和副本用A4 幅面的纸张打印，并提供电子文档一份，以供备份。</w:t>
      </w:r>
    </w:p>
    <w:p>
      <w:pPr>
        <w:spacing w:line="360" w:lineRule="auto"/>
        <w:jc w:val="left"/>
        <w:rPr>
          <w:rFonts w:ascii="宋体" w:hAnsi="宋体" w:eastAsia="宋体" w:cs="宋体"/>
          <w:sz w:val="24"/>
        </w:rPr>
      </w:pPr>
      <w:r>
        <w:rPr>
          <w:rFonts w:hint="eastAsia" w:ascii="宋体" w:hAnsi="宋体" w:eastAsia="宋体" w:cs="宋体"/>
          <w:sz w:val="24"/>
        </w:rPr>
        <w:t>3.“唱标一览表”用A4 幅面，竖版。</w:t>
      </w:r>
    </w:p>
    <w:p>
      <w:pPr>
        <w:tabs>
          <w:tab w:val="center" w:pos="4662"/>
        </w:tabs>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4.投标人在招标文件中提供的一切证件的原件、复印件或影印件必须保证其真实性。如投标人提交虚假资料，一经查出，投标文件无效。</w:t>
      </w:r>
    </w:p>
    <w:p>
      <w:pPr>
        <w:tabs>
          <w:tab w:val="center" w:pos="4662"/>
        </w:tabs>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5.投标人应认真审阅招标文件中所有的投标人须知、合同条款、技术要求、规定格式。如果投标人编制的投标文件，实质上不响应招标文件的要求，其投标文件将被拒绝。</w:t>
      </w:r>
    </w:p>
    <w:p>
      <w:pPr>
        <w:spacing w:line="360" w:lineRule="auto"/>
        <w:jc w:val="left"/>
        <w:rPr>
          <w:rFonts w:ascii="宋体" w:hAnsi="宋体" w:eastAsia="宋体" w:cs="宋体"/>
          <w:sz w:val="24"/>
        </w:rPr>
      </w:pPr>
      <w:r>
        <w:rPr>
          <w:rFonts w:hint="eastAsia" w:ascii="宋体" w:hAnsi="宋体" w:eastAsia="宋体" w:cs="宋体"/>
          <w:sz w:val="24"/>
        </w:rPr>
        <w:t>（三）投标文件的签署</w:t>
      </w:r>
    </w:p>
    <w:p>
      <w:pPr>
        <w:spacing w:line="360" w:lineRule="auto"/>
        <w:jc w:val="left"/>
        <w:rPr>
          <w:rFonts w:ascii="宋体" w:hAnsi="宋体" w:eastAsia="宋体" w:cs="宋体"/>
          <w:sz w:val="24"/>
        </w:rPr>
      </w:pPr>
      <w:r>
        <w:rPr>
          <w:rFonts w:hint="eastAsia" w:ascii="宋体" w:hAnsi="宋体" w:eastAsia="宋体" w:cs="宋体"/>
          <w:sz w:val="24"/>
        </w:rPr>
        <w:t xml:space="preserve">    投标人必须按招标文件的规定签署投标文件（正本、副本）、唱标一览表，并在投标文件封面、唱标一览表上加盖投标人单位公章。</w:t>
      </w:r>
    </w:p>
    <w:p>
      <w:pPr>
        <w:spacing w:line="360" w:lineRule="auto"/>
        <w:jc w:val="left"/>
        <w:rPr>
          <w:rFonts w:ascii="宋体" w:hAnsi="宋体" w:eastAsia="宋体" w:cs="宋体"/>
          <w:sz w:val="24"/>
        </w:rPr>
      </w:pPr>
      <w:r>
        <w:rPr>
          <w:rFonts w:hint="eastAsia" w:ascii="宋体" w:hAnsi="宋体" w:eastAsia="宋体" w:cs="宋体"/>
          <w:sz w:val="24"/>
        </w:rPr>
        <w:t>（四）语言及计量单位</w:t>
      </w:r>
    </w:p>
    <w:p>
      <w:pPr>
        <w:spacing w:line="360" w:lineRule="auto"/>
        <w:jc w:val="left"/>
        <w:rPr>
          <w:rFonts w:ascii="宋体" w:hAnsi="宋体" w:eastAsia="宋体" w:cs="宋体"/>
          <w:sz w:val="24"/>
        </w:rPr>
      </w:pPr>
      <w:r>
        <w:rPr>
          <w:rFonts w:hint="eastAsia" w:ascii="宋体" w:hAnsi="宋体" w:eastAsia="宋体" w:cs="宋体"/>
          <w:sz w:val="24"/>
        </w:rPr>
        <w:t xml:space="preserve"> 1.投标人和招标代理机构就本项目交换的文件和来往信函，使用中文。</w:t>
      </w:r>
    </w:p>
    <w:p>
      <w:pPr>
        <w:spacing w:line="360" w:lineRule="auto"/>
        <w:jc w:val="left"/>
        <w:rPr>
          <w:rFonts w:ascii="宋体" w:hAnsi="宋体" w:eastAsia="宋体" w:cs="宋体"/>
          <w:sz w:val="24"/>
        </w:rPr>
      </w:pPr>
      <w:r>
        <w:rPr>
          <w:rFonts w:hint="eastAsia" w:ascii="宋体" w:hAnsi="宋体" w:eastAsia="宋体" w:cs="宋体"/>
          <w:sz w:val="24"/>
        </w:rPr>
        <w:t xml:space="preserve"> 2.除招标文件另有规定外，投标文件中所使用的计量单位应使用中华人民共和国法定计量单位。</w:t>
      </w:r>
    </w:p>
    <w:p>
      <w:pPr>
        <w:spacing w:line="360" w:lineRule="auto"/>
        <w:jc w:val="left"/>
        <w:rPr>
          <w:rFonts w:ascii="宋体" w:hAnsi="宋体" w:eastAsia="宋体" w:cs="宋体"/>
          <w:sz w:val="24"/>
        </w:rPr>
      </w:pPr>
      <w:r>
        <w:rPr>
          <w:rFonts w:hint="eastAsia" w:ascii="宋体" w:hAnsi="宋体" w:eastAsia="宋体" w:cs="宋体"/>
          <w:sz w:val="24"/>
        </w:rPr>
        <w:t>（五）投标文件及电子文档的密封和标记</w:t>
      </w:r>
    </w:p>
    <w:p>
      <w:pPr>
        <w:spacing w:line="360" w:lineRule="auto"/>
        <w:jc w:val="left"/>
        <w:rPr>
          <w:rFonts w:ascii="宋体" w:hAnsi="宋体" w:eastAsia="宋体" w:cs="宋体"/>
          <w:sz w:val="24"/>
        </w:rPr>
      </w:pPr>
      <w:r>
        <w:rPr>
          <w:rFonts w:hint="eastAsia" w:ascii="宋体" w:hAnsi="宋体" w:eastAsia="宋体" w:cs="宋体"/>
          <w:sz w:val="24"/>
        </w:rPr>
        <w:t xml:space="preserve">  1.投标人应准备六份投标文件，一份正本和四份副本。在每一份投标文件上要明确注明“正本”或“副本”字样，一旦正本和副本有差异，以正本为准。</w:t>
      </w:r>
    </w:p>
    <w:p>
      <w:pPr>
        <w:spacing w:line="360" w:lineRule="auto"/>
        <w:jc w:val="left"/>
        <w:rPr>
          <w:rFonts w:ascii="宋体" w:hAnsi="宋体" w:eastAsia="宋体" w:cs="宋体"/>
          <w:sz w:val="24"/>
        </w:rPr>
      </w:pPr>
      <w:r>
        <w:rPr>
          <w:rFonts w:hint="eastAsia" w:ascii="宋体" w:hAnsi="宋体" w:eastAsia="宋体" w:cs="宋体"/>
          <w:sz w:val="24"/>
        </w:rPr>
        <w:t xml:space="preserve">  2.投标人应将投标文件正本、副本、唱标一览表、电子文档、资格审查文件分别单独密封，在封口处加盖投标人单位公章，并在封面明显处注明：</w:t>
      </w:r>
    </w:p>
    <w:p>
      <w:pPr>
        <w:spacing w:line="360" w:lineRule="auto"/>
        <w:jc w:val="left"/>
        <w:rPr>
          <w:rFonts w:ascii="宋体" w:hAnsi="宋体" w:eastAsia="宋体" w:cs="宋体"/>
          <w:sz w:val="24"/>
        </w:rPr>
      </w:pPr>
      <w:r>
        <w:rPr>
          <w:rFonts w:hint="eastAsia" w:ascii="宋体" w:hAnsi="宋体" w:eastAsia="宋体" w:cs="宋体"/>
          <w:sz w:val="24"/>
        </w:rPr>
        <w:t>（1）项目编号、项目名称；</w:t>
      </w:r>
    </w:p>
    <w:p>
      <w:pPr>
        <w:spacing w:line="360" w:lineRule="auto"/>
        <w:jc w:val="left"/>
        <w:rPr>
          <w:rFonts w:ascii="宋体" w:hAnsi="宋体" w:eastAsia="宋体" w:cs="宋体"/>
          <w:sz w:val="24"/>
        </w:rPr>
      </w:pPr>
      <w:r>
        <w:rPr>
          <w:rFonts w:hint="eastAsia" w:ascii="宋体" w:hAnsi="宋体" w:eastAsia="宋体" w:cs="宋体"/>
          <w:sz w:val="24"/>
        </w:rPr>
        <w:t>（2）投标人名称（加盖公章）、地址、电话、传真；</w:t>
      </w:r>
    </w:p>
    <w:p>
      <w:pPr>
        <w:spacing w:line="360" w:lineRule="auto"/>
        <w:jc w:val="left"/>
        <w:rPr>
          <w:rFonts w:ascii="宋体" w:hAnsi="宋体" w:eastAsia="宋体" w:cs="宋体"/>
          <w:sz w:val="24"/>
        </w:rPr>
      </w:pPr>
      <w:r>
        <w:rPr>
          <w:rFonts w:hint="eastAsia" w:ascii="宋体" w:hAnsi="宋体" w:eastAsia="宋体" w:cs="宋体"/>
          <w:sz w:val="24"/>
        </w:rPr>
        <w:t>（3）包封内容（正本、副本、唱标一览表、电子文档、资格后审文件）；</w:t>
      </w:r>
    </w:p>
    <w:p>
      <w:pPr>
        <w:tabs>
          <w:tab w:val="center" w:pos="4662"/>
        </w:tabs>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（4）每一密封封面上注明“于（截止时间） 之前不准启封”字样。</w:t>
      </w:r>
    </w:p>
    <w:p>
      <w:pPr>
        <w:spacing w:line="360" w:lineRule="auto"/>
        <w:jc w:val="left"/>
        <w:rPr>
          <w:rFonts w:ascii="宋体" w:hAnsi="宋体" w:eastAsia="宋体" w:cs="宋体"/>
          <w:sz w:val="24"/>
        </w:rPr>
      </w:pPr>
      <w:r>
        <w:rPr>
          <w:rFonts w:hint="eastAsia" w:ascii="宋体" w:hAnsi="宋体" w:eastAsia="宋体" w:cs="宋体"/>
          <w:sz w:val="24"/>
        </w:rPr>
        <w:t>（六）投标文件的递交</w:t>
      </w:r>
    </w:p>
    <w:p>
      <w:pPr>
        <w:spacing w:line="360" w:lineRule="auto"/>
        <w:jc w:val="left"/>
        <w:rPr>
          <w:rFonts w:ascii="宋体" w:hAnsi="宋体" w:eastAsia="宋体" w:cs="宋体"/>
          <w:sz w:val="24"/>
        </w:rPr>
      </w:pPr>
      <w:r>
        <w:rPr>
          <w:rFonts w:hint="eastAsia" w:ascii="宋体" w:hAnsi="宋体" w:eastAsia="宋体" w:cs="宋体"/>
          <w:sz w:val="24"/>
        </w:rPr>
        <w:t>1.递交投标文件的地点和时间</w:t>
      </w:r>
    </w:p>
    <w:p>
      <w:pPr>
        <w:spacing w:line="360" w:lineRule="auto"/>
        <w:jc w:val="left"/>
        <w:rPr>
          <w:rFonts w:ascii="宋体" w:hAnsi="宋体" w:eastAsia="宋体" w:cs="宋体"/>
          <w:sz w:val="24"/>
        </w:rPr>
      </w:pPr>
      <w:r>
        <w:rPr>
          <w:rFonts w:hint="eastAsia" w:ascii="宋体" w:hAnsi="宋体" w:eastAsia="宋体" w:cs="宋体"/>
          <w:sz w:val="24"/>
        </w:rPr>
        <w:t xml:space="preserve">  截止时间：详见前附表</w:t>
      </w:r>
    </w:p>
    <w:p>
      <w:pPr>
        <w:spacing w:line="360" w:lineRule="auto"/>
        <w:rPr>
          <w:rFonts w:ascii="宋体" w:hAnsi="宋体" w:eastAsia="宋体" w:cs="宋体"/>
          <w:sz w:val="24"/>
        </w:rPr>
      </w:pPr>
      <w:r>
        <w:rPr>
          <w:rFonts w:hint="eastAsia" w:ascii="宋体" w:hAnsi="宋体" w:eastAsia="宋体" w:cs="宋体"/>
          <w:sz w:val="24"/>
        </w:rPr>
        <w:t xml:space="preserve">  地  点:详见前附表</w:t>
      </w:r>
    </w:p>
    <w:p>
      <w:pPr>
        <w:numPr>
          <w:ilvl w:val="0"/>
          <w:numId w:val="8"/>
        </w:numPr>
        <w:spacing w:line="360" w:lineRule="auto"/>
        <w:jc w:val="left"/>
        <w:rPr>
          <w:rFonts w:ascii="宋体" w:hAnsi="宋体" w:eastAsia="宋体" w:cs="宋体"/>
          <w:sz w:val="24"/>
        </w:rPr>
      </w:pPr>
      <w:r>
        <w:rPr>
          <w:rFonts w:hint="eastAsia" w:ascii="宋体" w:hAnsi="宋体" w:eastAsia="宋体" w:cs="宋体"/>
          <w:sz w:val="24"/>
        </w:rPr>
        <w:t>投标人代表必须在投标截止时间前将投标文件送达指定地点。如因招标文件的修改推迟投标截止日期的，则按招标代理机构通知规定的时间递交。</w:t>
      </w:r>
    </w:p>
    <w:p>
      <w:pPr>
        <w:spacing w:line="360" w:lineRule="auto"/>
        <w:jc w:val="left"/>
        <w:rPr>
          <w:rFonts w:ascii="宋体" w:hAnsi="宋体" w:eastAsia="宋体" w:cs="宋体"/>
          <w:sz w:val="24"/>
        </w:rPr>
      </w:pPr>
      <w:r>
        <w:rPr>
          <w:rFonts w:hint="eastAsia" w:ascii="宋体" w:hAnsi="宋体" w:eastAsia="宋体" w:cs="宋体"/>
          <w:sz w:val="24"/>
        </w:rPr>
        <w:t>3.招标代理机构收到投标文件后，法定代表人或授权代表人在签到处进行签到。</w:t>
      </w:r>
    </w:p>
    <w:p>
      <w:pPr>
        <w:spacing w:line="360" w:lineRule="auto"/>
        <w:jc w:val="left"/>
        <w:rPr>
          <w:rFonts w:ascii="宋体" w:hAnsi="宋体" w:eastAsia="宋体" w:cs="宋体"/>
          <w:sz w:val="24"/>
        </w:rPr>
      </w:pPr>
      <w:r>
        <w:rPr>
          <w:rFonts w:hint="eastAsia" w:ascii="宋体" w:hAnsi="宋体" w:eastAsia="宋体" w:cs="宋体"/>
          <w:sz w:val="24"/>
        </w:rPr>
        <w:t>4.电报、电话、传真、电子邮件等形式的投标文件概不接受。</w:t>
      </w:r>
    </w:p>
    <w:p>
      <w:pPr>
        <w:tabs>
          <w:tab w:val="center" w:pos="4662"/>
        </w:tabs>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5.对投标人提交的投标文件不予退还。</w:t>
      </w:r>
    </w:p>
    <w:p>
      <w:pPr>
        <w:spacing w:line="360" w:lineRule="auto"/>
        <w:jc w:val="left"/>
        <w:rPr>
          <w:rFonts w:ascii="宋体" w:hAnsi="宋体" w:eastAsia="宋体" w:cs="宋体"/>
          <w:sz w:val="24"/>
        </w:rPr>
      </w:pPr>
      <w:r>
        <w:rPr>
          <w:rFonts w:hint="eastAsia" w:ascii="宋体" w:hAnsi="宋体" w:eastAsia="宋体" w:cs="宋体"/>
          <w:sz w:val="24"/>
        </w:rPr>
        <w:t>（七）迟交的投标文件</w:t>
      </w:r>
    </w:p>
    <w:p>
      <w:pPr>
        <w:spacing w:line="360" w:lineRule="auto"/>
        <w:jc w:val="left"/>
        <w:rPr>
          <w:rFonts w:ascii="宋体" w:hAnsi="宋体" w:eastAsia="宋体" w:cs="宋体"/>
          <w:sz w:val="24"/>
        </w:rPr>
      </w:pPr>
      <w:r>
        <w:rPr>
          <w:rFonts w:hint="eastAsia" w:ascii="宋体" w:hAnsi="宋体" w:eastAsia="宋体" w:cs="宋体"/>
          <w:sz w:val="24"/>
        </w:rPr>
        <w:t xml:space="preserve"> 招标代理机构将拒绝接收在投标截止时间后送达的投标文件。</w:t>
      </w:r>
    </w:p>
    <w:p>
      <w:pPr>
        <w:spacing w:line="360" w:lineRule="auto"/>
        <w:jc w:val="left"/>
        <w:rPr>
          <w:rFonts w:ascii="宋体" w:hAnsi="宋体" w:eastAsia="宋体" w:cs="宋体"/>
          <w:sz w:val="24"/>
        </w:rPr>
      </w:pPr>
      <w:r>
        <w:rPr>
          <w:rFonts w:hint="eastAsia" w:ascii="宋体" w:hAnsi="宋体" w:eastAsia="宋体" w:cs="宋体"/>
          <w:sz w:val="24"/>
        </w:rPr>
        <w:t>（八）投标文件的修改、补充和撤回</w:t>
      </w:r>
    </w:p>
    <w:p>
      <w:pPr>
        <w:spacing w:line="360" w:lineRule="auto"/>
        <w:jc w:val="left"/>
        <w:rPr>
          <w:rFonts w:ascii="宋体" w:hAnsi="宋体" w:eastAsia="宋体" w:cs="宋体"/>
          <w:sz w:val="24"/>
        </w:rPr>
      </w:pPr>
      <w:r>
        <w:rPr>
          <w:rFonts w:hint="eastAsia" w:ascii="宋体" w:hAnsi="宋体" w:eastAsia="宋体" w:cs="宋体"/>
          <w:sz w:val="24"/>
        </w:rPr>
        <w:t>1.投标人在招标文件要求提交投标文件的截止时间前，可以补充、修改或者撤回已提交的投标文件，并以书面形式通知招标代理机构。补充、修改的内容作为投标文件的组成部分。任何补充或修改的内容必须由投标人的法定代表人或其授权代表签字。经法定代表人或其授权代表正式签署的修改和补充文件组成投标文件的一部分，份数和密封要求同投标文件一致。</w:t>
      </w:r>
    </w:p>
    <w:p>
      <w:pPr>
        <w:spacing w:line="360" w:lineRule="auto"/>
        <w:jc w:val="left"/>
        <w:rPr>
          <w:rFonts w:ascii="宋体" w:hAnsi="宋体" w:eastAsia="宋体" w:cs="宋体"/>
          <w:sz w:val="24"/>
        </w:rPr>
      </w:pPr>
      <w:r>
        <w:rPr>
          <w:rFonts w:hint="eastAsia" w:ascii="宋体" w:hAnsi="宋体" w:eastAsia="宋体" w:cs="宋体"/>
          <w:sz w:val="24"/>
        </w:rPr>
        <w:t>2.投标文件的有效期为递交投标文件截止之日起90日，投标人在有效期内不得撤回其投标文件。</w:t>
      </w:r>
    </w:p>
    <w:p>
      <w:pPr>
        <w:numPr>
          <w:ilvl w:val="0"/>
          <w:numId w:val="9"/>
        </w:numPr>
        <w:tabs>
          <w:tab w:val="center" w:pos="4662"/>
        </w:tabs>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投标报价要求</w:t>
      </w:r>
    </w:p>
    <w:p>
      <w:pPr>
        <w:pStyle w:val="33"/>
        <w:spacing w:line="360" w:lineRule="auto"/>
        <w:ind w:firstLine="0" w:firstLineChars="0"/>
        <w:rPr>
          <w:rFonts w:ascii="宋体" w:hAnsi="宋体" w:eastAsia="宋体" w:cs="宋体"/>
        </w:rPr>
      </w:pPr>
      <w:r>
        <w:rPr>
          <w:rFonts w:hint="eastAsia" w:ascii="宋体" w:hAnsi="宋体" w:eastAsia="宋体" w:cs="宋体"/>
        </w:rPr>
        <w:t>1、本次报价一次性报价，报价币种为人民币。</w:t>
      </w:r>
    </w:p>
    <w:p>
      <w:pPr>
        <w:pStyle w:val="33"/>
        <w:spacing w:line="360" w:lineRule="auto"/>
        <w:ind w:firstLine="0" w:firstLineChars="0"/>
        <w:rPr>
          <w:rFonts w:ascii="宋体" w:hAnsi="宋体" w:eastAsia="宋体" w:cs="宋体"/>
        </w:rPr>
      </w:pPr>
      <w:r>
        <w:rPr>
          <w:rFonts w:hint="eastAsia" w:ascii="宋体" w:hAnsi="宋体" w:eastAsia="宋体" w:cs="宋体"/>
        </w:rPr>
        <w:t>2、供应商应报出符合要求的全费用综合单价。与本次招标相关的一切费用采购人均视为已包含在此全费用综合单价中，如果供应商缺项、漏项，应视为已分摊在其它项目中。供应商应使用磋商文件规定的报价格式，但本格式可进行扩展使用。</w:t>
      </w:r>
    </w:p>
    <w:p>
      <w:pPr>
        <w:pStyle w:val="33"/>
        <w:spacing w:line="360" w:lineRule="auto"/>
        <w:ind w:firstLine="0" w:firstLineChars="0"/>
        <w:rPr>
          <w:rFonts w:ascii="宋体" w:hAnsi="宋体" w:eastAsia="宋体" w:cs="宋体"/>
        </w:rPr>
      </w:pPr>
      <w:r>
        <w:rPr>
          <w:rFonts w:hint="eastAsia" w:ascii="宋体" w:hAnsi="宋体" w:eastAsia="宋体" w:cs="宋体"/>
        </w:rPr>
        <w:t>3、如果需要一般的专用工具，专用工具均在报价范围内，要求供应商按照规定格式单独报价。</w:t>
      </w:r>
    </w:p>
    <w:p>
      <w:pPr>
        <w:pStyle w:val="33"/>
        <w:spacing w:line="360" w:lineRule="auto"/>
        <w:ind w:firstLine="0" w:firstLineChars="0"/>
        <w:rPr>
          <w:rFonts w:ascii="宋体" w:hAnsi="宋体" w:eastAsia="宋体" w:cs="宋体"/>
        </w:rPr>
      </w:pPr>
      <w:r>
        <w:rPr>
          <w:rFonts w:hint="eastAsia" w:ascii="宋体" w:hAnsi="宋体" w:eastAsia="宋体" w:cs="宋体"/>
        </w:rPr>
        <w:t>4、采购代理机构不接受可选择的报价方案和报价。任何有选择的或可调整的报价方案和报价将被视为非响应性报价而被拒绝。</w:t>
      </w:r>
    </w:p>
    <w:p>
      <w:pPr>
        <w:pStyle w:val="33"/>
        <w:spacing w:line="360" w:lineRule="auto"/>
        <w:ind w:firstLine="0" w:firstLineChars="0"/>
        <w:rPr>
          <w:rFonts w:ascii="宋体" w:hAnsi="宋体" w:eastAsia="宋体" w:cs="宋体"/>
          <w:b/>
          <w:bCs/>
        </w:rPr>
      </w:pPr>
      <w:r>
        <w:rPr>
          <w:rFonts w:hint="eastAsia" w:ascii="宋体" w:hAnsi="宋体" w:eastAsia="宋体" w:cs="宋体"/>
        </w:rPr>
        <w:t>5、投标报价应根据有关计价要求，并按照下列依据自主报价。</w:t>
      </w:r>
    </w:p>
    <w:p>
      <w:pPr>
        <w:pStyle w:val="33"/>
        <w:spacing w:line="360" w:lineRule="auto"/>
        <w:ind w:firstLine="504"/>
        <w:rPr>
          <w:rFonts w:ascii="宋体" w:hAnsi="宋体" w:eastAsia="宋体" w:cs="宋体"/>
        </w:rPr>
      </w:pPr>
      <w:r>
        <w:rPr>
          <w:rFonts w:hint="eastAsia" w:ascii="宋体" w:hAnsi="宋体" w:eastAsia="宋体" w:cs="宋体"/>
        </w:rPr>
        <w:t>(1) 招标文件；</w:t>
      </w:r>
    </w:p>
    <w:p>
      <w:pPr>
        <w:pStyle w:val="33"/>
        <w:spacing w:line="360" w:lineRule="auto"/>
        <w:ind w:firstLine="504"/>
        <w:rPr>
          <w:rFonts w:ascii="宋体" w:hAnsi="宋体" w:eastAsia="宋体" w:cs="宋体"/>
          <w:szCs w:val="24"/>
        </w:rPr>
      </w:pPr>
      <w:r>
        <w:rPr>
          <w:rFonts w:hint="eastAsia" w:ascii="宋体" w:hAnsi="宋体" w:eastAsia="宋体" w:cs="宋体"/>
        </w:rPr>
        <w:t>(2) 其他的相关资料（国家、省、市现行有关规定）。</w:t>
      </w:r>
    </w:p>
    <w:p>
      <w:pPr>
        <w:numPr>
          <w:ilvl w:val="0"/>
          <w:numId w:val="9"/>
        </w:numPr>
        <w:spacing w:line="360" w:lineRule="auto"/>
        <w:rPr>
          <w:rFonts w:ascii="宋体" w:hAnsi="宋体" w:eastAsia="宋体" w:cs="宋体"/>
          <w:sz w:val="24"/>
        </w:rPr>
      </w:pPr>
      <w:r>
        <w:rPr>
          <w:rFonts w:hint="eastAsia" w:ascii="宋体" w:hAnsi="宋体" w:eastAsia="宋体" w:cs="宋体"/>
          <w:sz w:val="24"/>
        </w:rPr>
        <w:t>报价错误的修正</w:t>
      </w:r>
    </w:p>
    <w:p>
      <w:pPr>
        <w:spacing w:line="360" w:lineRule="auto"/>
        <w:jc w:val="left"/>
        <w:rPr>
          <w:rFonts w:ascii="宋体" w:hAnsi="宋体" w:eastAsia="宋体" w:cs="宋体"/>
          <w:sz w:val="24"/>
        </w:rPr>
      </w:pPr>
      <w:r>
        <w:rPr>
          <w:rFonts w:hint="eastAsia" w:ascii="宋体" w:hAnsi="宋体" w:eastAsia="宋体" w:cs="宋体"/>
          <w:sz w:val="24"/>
        </w:rPr>
        <w:t>1.如果正本与副本或电子文档不一致，以正本为准；如果单独的唱标一览表与投标文件正本有差异，以唱标一览表为准；投标文件中的唱标一览表与投标文件中明细表内容不一致的，以唱标一览表为准。三份唱标一览表不一致的，按无效投标处理。</w:t>
      </w:r>
    </w:p>
    <w:p>
      <w:pPr>
        <w:spacing w:line="360" w:lineRule="auto"/>
        <w:jc w:val="left"/>
        <w:rPr>
          <w:rFonts w:ascii="宋体" w:hAnsi="宋体" w:eastAsia="宋体" w:cs="宋体"/>
          <w:sz w:val="24"/>
        </w:rPr>
      </w:pPr>
      <w:r>
        <w:rPr>
          <w:rFonts w:hint="eastAsia" w:ascii="宋体" w:hAnsi="宋体" w:eastAsia="宋体" w:cs="宋体"/>
          <w:sz w:val="24"/>
        </w:rPr>
        <w:t>2.如果以文字表示的数据与数字表示的有差别，以文字为准。如果大写金额和小写金额不一致的，以大写金额为准。单价与总价不一致时，以总价为准。总价有明显小数点错误的除外（以单价为准，修改总价）。</w:t>
      </w:r>
    </w:p>
    <w:p>
      <w:pPr>
        <w:spacing w:line="360" w:lineRule="auto"/>
        <w:jc w:val="left"/>
        <w:rPr>
          <w:rFonts w:ascii="宋体" w:hAnsi="宋体" w:eastAsia="宋体" w:cs="宋体"/>
          <w:b/>
          <w:bCs/>
          <w:sz w:val="24"/>
        </w:rPr>
      </w:pPr>
      <w:r>
        <w:rPr>
          <w:rFonts w:hint="eastAsia" w:ascii="宋体" w:hAnsi="宋体" w:eastAsia="宋体" w:cs="宋体"/>
          <w:sz w:val="24"/>
        </w:rPr>
        <w:t>3.调整后的数据对投标人具有约束力，投标人不同意以上修正，其投标将被拒绝。</w:t>
      </w:r>
    </w:p>
    <w:p>
      <w:pPr>
        <w:spacing w:line="360" w:lineRule="auto"/>
        <w:jc w:val="left"/>
        <w:outlineLvl w:val="1"/>
        <w:rPr>
          <w:rFonts w:ascii="宋体" w:hAnsi="宋体" w:eastAsia="宋体" w:cs="宋体"/>
          <w:b/>
          <w:bCs/>
          <w:sz w:val="24"/>
        </w:rPr>
      </w:pPr>
      <w:r>
        <w:rPr>
          <w:rFonts w:hint="eastAsia" w:ascii="宋体" w:hAnsi="宋体" w:eastAsia="宋体" w:cs="宋体"/>
          <w:b/>
          <w:bCs/>
          <w:sz w:val="24"/>
        </w:rPr>
        <w:t>六、合格的投标人</w:t>
      </w:r>
    </w:p>
    <w:p>
      <w:pPr>
        <w:spacing w:line="360" w:lineRule="auto"/>
        <w:jc w:val="left"/>
        <w:rPr>
          <w:rFonts w:ascii="宋体" w:hAnsi="宋体" w:eastAsia="宋体" w:cs="宋体"/>
          <w:sz w:val="24"/>
        </w:rPr>
      </w:pPr>
      <w:r>
        <w:rPr>
          <w:rFonts w:hint="eastAsia" w:ascii="宋体" w:hAnsi="宋体" w:eastAsia="宋体" w:cs="宋体"/>
          <w:sz w:val="24"/>
        </w:rPr>
        <w:t>符合以下条件的投标人，为合格的投标人：</w:t>
      </w:r>
    </w:p>
    <w:p>
      <w:pPr>
        <w:spacing w:line="360" w:lineRule="auto"/>
        <w:rPr>
          <w:rFonts w:ascii="宋体" w:hAnsi="宋体" w:eastAsia="宋体" w:cs="宋体"/>
          <w:sz w:val="24"/>
        </w:rPr>
      </w:pPr>
      <w:r>
        <w:rPr>
          <w:rFonts w:hint="eastAsia" w:ascii="宋体" w:hAnsi="宋体" w:eastAsia="宋体" w:cs="宋体"/>
          <w:sz w:val="24"/>
        </w:rPr>
        <w:t>1.本招标采用资格后审的审查方法确定合格投标人。</w:t>
      </w:r>
    </w:p>
    <w:p>
      <w:pPr>
        <w:spacing w:line="360" w:lineRule="auto"/>
        <w:jc w:val="left"/>
        <w:outlineLvl w:val="1"/>
        <w:rPr>
          <w:rFonts w:ascii="宋体" w:hAnsi="宋体" w:eastAsia="宋体" w:cs="宋体"/>
          <w:b/>
          <w:bCs/>
          <w:sz w:val="24"/>
        </w:rPr>
      </w:pPr>
      <w:r>
        <w:rPr>
          <w:rFonts w:hint="eastAsia" w:ascii="宋体" w:hAnsi="宋体" w:eastAsia="宋体" w:cs="宋体"/>
          <w:b/>
          <w:bCs/>
          <w:sz w:val="24"/>
        </w:rPr>
        <w:t>七、投标有效期</w:t>
      </w:r>
    </w:p>
    <w:p>
      <w:pPr>
        <w:spacing w:line="360" w:lineRule="auto"/>
        <w:jc w:val="left"/>
        <w:rPr>
          <w:rFonts w:ascii="宋体" w:hAnsi="宋体" w:eastAsia="宋体" w:cs="宋体"/>
          <w:sz w:val="24"/>
        </w:rPr>
      </w:pPr>
      <w:r>
        <w:rPr>
          <w:rFonts w:hint="eastAsia" w:ascii="宋体" w:hAnsi="宋体" w:eastAsia="宋体" w:cs="宋体"/>
          <w:sz w:val="24"/>
        </w:rPr>
        <w:t>1.从投标截止之日，递交投标文件截止之日起90 日。</w:t>
      </w:r>
    </w:p>
    <w:p>
      <w:pPr>
        <w:spacing w:line="360" w:lineRule="auto"/>
        <w:jc w:val="left"/>
        <w:rPr>
          <w:rFonts w:ascii="宋体" w:hAnsi="宋体" w:eastAsia="宋体" w:cs="宋体"/>
          <w:sz w:val="24"/>
        </w:rPr>
      </w:pPr>
      <w:r>
        <w:rPr>
          <w:rFonts w:hint="eastAsia" w:ascii="宋体" w:hAnsi="宋体" w:eastAsia="宋体" w:cs="宋体"/>
          <w:sz w:val="24"/>
        </w:rPr>
        <w:t>2.特殊情况下，在投标有效期满之前，招标代理机构可以以书面形式要求投标人同意延长投标有效期。投标人可以以书面形式拒绝或接受上述要求。</w:t>
      </w:r>
    </w:p>
    <w:p>
      <w:pPr>
        <w:spacing w:line="360" w:lineRule="auto"/>
        <w:jc w:val="left"/>
        <w:outlineLvl w:val="1"/>
        <w:rPr>
          <w:rFonts w:ascii="宋体" w:hAnsi="宋体" w:eastAsia="宋体" w:cs="宋体"/>
          <w:b/>
          <w:bCs/>
          <w:sz w:val="24"/>
        </w:rPr>
      </w:pPr>
      <w:r>
        <w:rPr>
          <w:rFonts w:hint="eastAsia" w:ascii="宋体" w:hAnsi="宋体" w:eastAsia="宋体" w:cs="宋体"/>
          <w:b/>
          <w:bCs/>
          <w:sz w:val="24"/>
        </w:rPr>
        <w:t>八、投标费用</w:t>
      </w:r>
    </w:p>
    <w:p>
      <w:pPr>
        <w:spacing w:line="360" w:lineRule="auto"/>
        <w:jc w:val="left"/>
        <w:rPr>
          <w:rFonts w:ascii="宋体" w:hAnsi="宋体" w:eastAsia="宋体" w:cs="宋体"/>
          <w:sz w:val="24"/>
        </w:rPr>
      </w:pPr>
      <w:r>
        <w:rPr>
          <w:rFonts w:hint="eastAsia" w:ascii="宋体" w:hAnsi="宋体" w:eastAsia="宋体" w:cs="宋体"/>
          <w:sz w:val="24"/>
        </w:rPr>
        <w:t>1.投标单位投标过程中的一切费用，不论中标与否，均自负，招标人与招标代理人不负任何责任。</w:t>
      </w:r>
    </w:p>
    <w:p>
      <w:pPr>
        <w:numPr>
          <w:ilvl w:val="0"/>
          <w:numId w:val="10"/>
        </w:numPr>
        <w:spacing w:line="360" w:lineRule="auto"/>
        <w:jc w:val="left"/>
        <w:rPr>
          <w:rFonts w:ascii="宋体" w:hAnsi="宋体" w:eastAsia="宋体" w:cs="宋体"/>
          <w:sz w:val="24"/>
        </w:rPr>
      </w:pPr>
      <w:r>
        <w:rPr>
          <w:rFonts w:hint="eastAsia" w:ascii="宋体" w:hAnsi="宋体" w:eastAsia="宋体" w:cs="宋体"/>
          <w:sz w:val="24"/>
        </w:rPr>
        <w:t>招标代理服务费：本次的招标代理服务费按国家发展和改革委员会文件发改价格【2015】299 号文件，由中标单位缴纳。</w:t>
      </w:r>
    </w:p>
    <w:p>
      <w:pPr>
        <w:numPr>
          <w:ilvl w:val="0"/>
          <w:numId w:val="11"/>
        </w:numPr>
        <w:spacing w:line="360" w:lineRule="auto"/>
        <w:jc w:val="left"/>
        <w:rPr>
          <w:rFonts w:ascii="宋体" w:hAnsi="宋体" w:eastAsia="宋体" w:cs="宋体"/>
          <w:sz w:val="24"/>
        </w:rPr>
      </w:pPr>
      <w:r>
        <w:rPr>
          <w:rFonts w:hint="eastAsia" w:ascii="宋体" w:hAnsi="宋体" w:eastAsia="宋体" w:cs="宋体"/>
          <w:sz w:val="24"/>
        </w:rPr>
        <w:t>律师见证费：中标单位在领取中标通知书前按中标总金额的1‰向律师交纳见证费，不足500元的按500元收取。</w:t>
      </w:r>
    </w:p>
    <w:p>
      <w:pPr>
        <w:spacing w:line="360" w:lineRule="auto"/>
        <w:rPr>
          <w:rFonts w:ascii="宋体" w:hAnsi="宋体" w:eastAsia="宋体" w:cs="宋体"/>
          <w:b/>
          <w:bCs/>
          <w:sz w:val="24"/>
        </w:rPr>
      </w:pPr>
      <w:r>
        <w:rPr>
          <w:rFonts w:hint="eastAsia" w:ascii="宋体" w:hAnsi="宋体" w:eastAsia="宋体" w:cs="宋体"/>
          <w:b/>
          <w:bCs/>
          <w:sz w:val="24"/>
        </w:rPr>
        <w:t>上述费用包含在各投标人的投标报价中，综合考虑，不单独列支。</w:t>
      </w:r>
    </w:p>
    <w:p>
      <w:pPr>
        <w:spacing w:line="360" w:lineRule="auto"/>
        <w:jc w:val="left"/>
        <w:outlineLvl w:val="1"/>
        <w:rPr>
          <w:rFonts w:ascii="宋体" w:hAnsi="宋体" w:eastAsia="宋体" w:cs="宋体"/>
          <w:b/>
          <w:bCs/>
          <w:sz w:val="24"/>
        </w:rPr>
      </w:pPr>
      <w:r>
        <w:rPr>
          <w:rFonts w:hint="eastAsia" w:ascii="宋体" w:hAnsi="宋体" w:eastAsia="宋体" w:cs="宋体"/>
          <w:b/>
          <w:bCs/>
          <w:sz w:val="24"/>
        </w:rPr>
        <w:t>九、投标保证金</w:t>
      </w:r>
    </w:p>
    <w:p>
      <w:pPr>
        <w:spacing w:line="360" w:lineRule="auto"/>
        <w:jc w:val="left"/>
        <w:rPr>
          <w:rFonts w:ascii="宋体" w:hAnsi="宋体" w:eastAsia="宋体" w:cs="宋体"/>
          <w:sz w:val="24"/>
        </w:rPr>
      </w:pPr>
      <w:r>
        <w:rPr>
          <w:rFonts w:hint="eastAsia" w:ascii="宋体" w:hAnsi="宋体" w:eastAsia="宋体" w:cs="宋体"/>
          <w:sz w:val="24"/>
        </w:rPr>
        <w:t>无</w:t>
      </w:r>
    </w:p>
    <w:p>
      <w:pPr>
        <w:pStyle w:val="35"/>
        <w:spacing w:beforeLines="50" w:line="360" w:lineRule="auto"/>
        <w:jc w:val="both"/>
        <w:outlineLvl w:val="1"/>
        <w:rPr>
          <w:rFonts w:ascii="宋体" w:hAnsi="宋体" w:eastAsia="宋体" w:cs="宋体"/>
          <w:b/>
          <w:bCs/>
          <w:sz w:val="24"/>
        </w:rPr>
      </w:pPr>
      <w:bookmarkStart w:id="34" w:name="_Toc183264292"/>
      <w:bookmarkStart w:id="35" w:name="_Toc4325"/>
      <w:bookmarkStart w:id="36" w:name="_Toc15876"/>
      <w:bookmarkStart w:id="37" w:name="_Toc8414"/>
      <w:bookmarkStart w:id="38" w:name="_Toc4983"/>
      <w:bookmarkStart w:id="39" w:name="_Toc28089"/>
      <w:bookmarkStart w:id="40" w:name="_Toc8951"/>
      <w:bookmarkStart w:id="41" w:name="_Toc26475"/>
      <w:bookmarkStart w:id="42" w:name="_Toc22771"/>
      <w:bookmarkStart w:id="43" w:name="_Toc1306"/>
      <w:bookmarkStart w:id="44" w:name="_Toc15632"/>
      <w:bookmarkStart w:id="45" w:name="_Toc17369"/>
      <w:bookmarkStart w:id="46" w:name="_Toc6197"/>
      <w:r>
        <w:rPr>
          <w:rFonts w:hint="eastAsia" w:ascii="宋体" w:hAnsi="宋体" w:eastAsia="宋体" w:cs="宋体"/>
          <w:b/>
          <w:bCs/>
          <w:sz w:val="24"/>
        </w:rPr>
        <w:t>十、无效</w:t>
      </w:r>
      <w:bookmarkEnd w:id="34"/>
      <w:r>
        <w:rPr>
          <w:rFonts w:hint="eastAsia" w:ascii="宋体" w:hAnsi="宋体" w:eastAsia="宋体" w:cs="宋体"/>
          <w:b/>
          <w:bCs/>
          <w:sz w:val="24"/>
        </w:rPr>
        <w:t>报价</w:t>
      </w:r>
      <w:bookmarkEnd w:id="35"/>
      <w:bookmarkEnd w:id="36"/>
      <w:bookmarkEnd w:id="37"/>
      <w:bookmarkEnd w:id="38"/>
      <w:bookmarkEnd w:id="39"/>
      <w:bookmarkEnd w:id="40"/>
      <w:bookmarkEnd w:id="41"/>
      <w:bookmarkEnd w:id="42"/>
      <w:bookmarkEnd w:id="43"/>
      <w:bookmarkEnd w:id="44"/>
      <w:bookmarkEnd w:id="45"/>
      <w:bookmarkEnd w:id="46"/>
    </w:p>
    <w:p>
      <w:pPr>
        <w:pStyle w:val="33"/>
        <w:spacing w:line="360" w:lineRule="auto"/>
        <w:ind w:firstLine="0" w:firstLineChars="0"/>
        <w:rPr>
          <w:rFonts w:ascii="宋体" w:hAnsi="宋体" w:eastAsia="宋体" w:cs="宋体"/>
          <w:szCs w:val="24"/>
        </w:rPr>
      </w:pPr>
      <w:r>
        <w:rPr>
          <w:rFonts w:hint="eastAsia" w:ascii="宋体" w:hAnsi="宋体" w:eastAsia="宋体" w:cs="宋体"/>
          <w:szCs w:val="24"/>
        </w:rPr>
        <w:t>（一）投标人有下列情况之一，其报价将被视为无效：</w:t>
      </w:r>
    </w:p>
    <w:p>
      <w:pPr>
        <w:pStyle w:val="32"/>
        <w:spacing w:line="360" w:lineRule="auto"/>
        <w:ind w:firstLine="0" w:firstLineChars="0"/>
        <w:rPr>
          <w:rFonts w:ascii="宋体" w:hAnsi="宋体" w:eastAsia="宋体" w:cs="宋体"/>
        </w:rPr>
      </w:pPr>
      <w:r>
        <w:rPr>
          <w:rFonts w:hint="eastAsia" w:ascii="宋体" w:hAnsi="宋体" w:eastAsia="宋体" w:cs="宋体"/>
        </w:rPr>
        <w:t>1.投标文件未按招标文件的规定签署、胶装或密封的。</w:t>
      </w:r>
    </w:p>
    <w:p>
      <w:pPr>
        <w:pStyle w:val="32"/>
        <w:spacing w:line="360" w:lineRule="auto"/>
        <w:ind w:firstLine="0" w:firstLineChars="0"/>
        <w:rPr>
          <w:rFonts w:ascii="宋体" w:hAnsi="宋体" w:eastAsia="宋体" w:cs="宋体"/>
        </w:rPr>
      </w:pPr>
      <w:r>
        <w:rPr>
          <w:rFonts w:hint="eastAsia" w:ascii="宋体" w:hAnsi="宋体" w:eastAsia="宋体" w:cs="宋体"/>
        </w:rPr>
        <w:t>2.唱标一览表未加盖本单位公章、法定代表人或授权代表未签字的。</w:t>
      </w:r>
    </w:p>
    <w:p>
      <w:pPr>
        <w:pStyle w:val="32"/>
        <w:spacing w:line="360" w:lineRule="auto"/>
        <w:ind w:firstLine="0" w:firstLineChars="0"/>
        <w:rPr>
          <w:rFonts w:ascii="宋体" w:hAnsi="宋体" w:eastAsia="宋体" w:cs="宋体"/>
        </w:rPr>
      </w:pPr>
      <w:r>
        <w:rPr>
          <w:rFonts w:hint="eastAsia" w:ascii="宋体" w:hAnsi="宋体" w:eastAsia="宋体" w:cs="宋体"/>
        </w:rPr>
        <w:t>3.投标人对招标文件的要求未做出实质性响应的。</w:t>
      </w:r>
    </w:p>
    <w:p>
      <w:pPr>
        <w:pStyle w:val="32"/>
        <w:spacing w:line="360" w:lineRule="auto"/>
        <w:ind w:firstLine="0" w:firstLineChars="0"/>
        <w:rPr>
          <w:rFonts w:ascii="宋体" w:hAnsi="宋体" w:eastAsia="宋体" w:cs="宋体"/>
        </w:rPr>
      </w:pPr>
      <w:r>
        <w:rPr>
          <w:rFonts w:hint="eastAsia" w:ascii="宋体" w:hAnsi="宋体" w:eastAsia="宋体" w:cs="宋体"/>
        </w:rPr>
        <w:t>4.投标人不参加开标仪式及与投标相关事宜的。</w:t>
      </w:r>
    </w:p>
    <w:p>
      <w:pPr>
        <w:pStyle w:val="32"/>
        <w:spacing w:line="360" w:lineRule="auto"/>
        <w:ind w:firstLine="0" w:firstLineChars="0"/>
        <w:rPr>
          <w:rFonts w:ascii="宋体" w:hAnsi="宋体" w:eastAsia="宋体" w:cs="宋体"/>
        </w:rPr>
      </w:pPr>
      <w:r>
        <w:rPr>
          <w:rFonts w:hint="eastAsia" w:ascii="宋体" w:hAnsi="宋体" w:eastAsia="宋体" w:cs="宋体"/>
        </w:rPr>
        <w:t>5.投标人资格不符合招标文件要求，未按招标文件要求提供资格、资质证明文件的。</w:t>
      </w:r>
    </w:p>
    <w:p>
      <w:pPr>
        <w:pStyle w:val="32"/>
        <w:spacing w:line="360" w:lineRule="auto"/>
        <w:ind w:firstLine="0" w:firstLineChars="0"/>
        <w:rPr>
          <w:rFonts w:ascii="宋体" w:hAnsi="宋体" w:eastAsia="宋体" w:cs="宋体"/>
        </w:rPr>
      </w:pPr>
      <w:r>
        <w:rPr>
          <w:rFonts w:hint="eastAsia" w:ascii="宋体" w:hAnsi="宋体" w:eastAsia="宋体" w:cs="宋体"/>
        </w:rPr>
        <w:t>6.投标文件载明的工期超过招标文件规定的时间且不能被招标人接受。</w:t>
      </w:r>
    </w:p>
    <w:p>
      <w:pPr>
        <w:pStyle w:val="32"/>
        <w:spacing w:line="360" w:lineRule="auto"/>
        <w:ind w:firstLine="0" w:firstLineChars="0"/>
        <w:rPr>
          <w:rFonts w:ascii="宋体" w:hAnsi="宋体" w:eastAsia="宋体" w:cs="宋体"/>
        </w:rPr>
      </w:pPr>
      <w:r>
        <w:rPr>
          <w:rFonts w:hint="eastAsia" w:ascii="宋体" w:hAnsi="宋体" w:eastAsia="宋体" w:cs="宋体"/>
        </w:rPr>
        <w:t>7.投标文件载明的付款方式不满足招标文件规定且不能被招标人接受。</w:t>
      </w:r>
    </w:p>
    <w:p>
      <w:pPr>
        <w:pStyle w:val="32"/>
        <w:spacing w:line="360" w:lineRule="auto"/>
        <w:ind w:firstLine="0" w:firstLineChars="0"/>
        <w:rPr>
          <w:rFonts w:ascii="宋体" w:hAnsi="宋体" w:eastAsia="宋体" w:cs="宋体"/>
        </w:rPr>
      </w:pPr>
      <w:r>
        <w:rPr>
          <w:rFonts w:hint="eastAsia" w:ascii="宋体" w:hAnsi="宋体" w:eastAsia="宋体" w:cs="宋体"/>
        </w:rPr>
        <w:t>8.不符合招标文件中规定的其他实质性要求。</w:t>
      </w:r>
    </w:p>
    <w:p>
      <w:pPr>
        <w:pStyle w:val="32"/>
        <w:spacing w:line="360" w:lineRule="auto"/>
        <w:ind w:firstLine="0" w:firstLineChars="0"/>
        <w:rPr>
          <w:rFonts w:ascii="宋体" w:hAnsi="宋体" w:eastAsia="宋体" w:cs="宋体"/>
        </w:rPr>
      </w:pPr>
      <w:r>
        <w:rPr>
          <w:rFonts w:hint="eastAsia" w:ascii="宋体" w:hAnsi="宋体" w:eastAsia="宋体" w:cs="宋体"/>
        </w:rPr>
        <w:t>9.法律、法规规定的其他情况。</w:t>
      </w:r>
    </w:p>
    <w:p>
      <w:pPr>
        <w:pStyle w:val="33"/>
        <w:spacing w:line="360" w:lineRule="auto"/>
        <w:ind w:firstLine="0" w:firstLineChars="0"/>
        <w:rPr>
          <w:rFonts w:ascii="宋体" w:hAnsi="宋体" w:eastAsia="宋体" w:cs="宋体"/>
          <w:szCs w:val="24"/>
        </w:rPr>
      </w:pPr>
      <w:r>
        <w:rPr>
          <w:rFonts w:hint="eastAsia" w:ascii="宋体" w:hAnsi="宋体" w:eastAsia="宋体" w:cs="宋体"/>
          <w:szCs w:val="24"/>
        </w:rPr>
        <w:t>（二）投标人有下列情况之一，其报价不仅被视为无效，而且招标人将严格按照相关法律、法规及规章制度的规定行使权利。投标人给招标人和招标代理机构造成损失的，应予以赔偿。</w:t>
      </w:r>
    </w:p>
    <w:p>
      <w:pPr>
        <w:pStyle w:val="32"/>
        <w:spacing w:line="360" w:lineRule="auto"/>
        <w:ind w:firstLine="0" w:firstLineChars="0"/>
        <w:rPr>
          <w:rFonts w:ascii="宋体" w:hAnsi="宋体" w:eastAsia="宋体" w:cs="宋体"/>
        </w:rPr>
      </w:pPr>
      <w:r>
        <w:rPr>
          <w:rFonts w:hint="eastAsia" w:ascii="宋体" w:hAnsi="宋体" w:eastAsia="宋体" w:cs="宋体"/>
        </w:rPr>
        <w:t>1.投标人在报价有效期内撤回报价。</w:t>
      </w:r>
    </w:p>
    <w:p>
      <w:pPr>
        <w:pStyle w:val="32"/>
        <w:spacing w:line="360" w:lineRule="auto"/>
        <w:ind w:firstLine="0" w:firstLineChars="0"/>
        <w:rPr>
          <w:rFonts w:ascii="宋体" w:hAnsi="宋体" w:eastAsia="宋体" w:cs="宋体"/>
        </w:rPr>
      </w:pPr>
      <w:r>
        <w:rPr>
          <w:rFonts w:hint="eastAsia" w:ascii="宋体" w:hAnsi="宋体" w:eastAsia="宋体" w:cs="宋体"/>
        </w:rPr>
        <w:t>2.投标人提供的有关资格、资质证明文件不真实或提供虚假材料。</w:t>
      </w:r>
    </w:p>
    <w:p>
      <w:pPr>
        <w:pStyle w:val="32"/>
        <w:spacing w:line="360" w:lineRule="auto"/>
        <w:ind w:firstLine="0" w:firstLineChars="0"/>
        <w:rPr>
          <w:rFonts w:ascii="宋体" w:hAnsi="宋体" w:eastAsia="宋体" w:cs="宋体"/>
        </w:rPr>
      </w:pPr>
      <w:r>
        <w:rPr>
          <w:rFonts w:hint="eastAsia" w:ascii="宋体" w:hAnsi="宋体" w:eastAsia="宋体" w:cs="宋体"/>
        </w:rPr>
        <w:t>3.以他人名义报价或者以其他方式弄虚作假，骗取成交。</w:t>
      </w:r>
    </w:p>
    <w:p>
      <w:pPr>
        <w:pStyle w:val="32"/>
        <w:spacing w:line="360" w:lineRule="auto"/>
        <w:ind w:firstLine="0" w:firstLineChars="0"/>
        <w:rPr>
          <w:rFonts w:ascii="宋体" w:hAnsi="宋体" w:eastAsia="宋体" w:cs="宋体"/>
        </w:rPr>
      </w:pPr>
      <w:r>
        <w:rPr>
          <w:rFonts w:hint="eastAsia" w:ascii="宋体" w:hAnsi="宋体" w:eastAsia="宋体" w:cs="宋体"/>
        </w:rPr>
        <w:t>4.投标人向招标人、招标代理机构、评审小组成员提供不正当利益。</w:t>
      </w:r>
    </w:p>
    <w:p>
      <w:pPr>
        <w:pStyle w:val="32"/>
        <w:spacing w:line="360" w:lineRule="auto"/>
        <w:ind w:firstLine="0" w:firstLineChars="0"/>
        <w:rPr>
          <w:rFonts w:ascii="宋体" w:hAnsi="宋体" w:eastAsia="宋体" w:cs="宋体"/>
        </w:rPr>
      </w:pPr>
      <w:r>
        <w:rPr>
          <w:rFonts w:hint="eastAsia" w:ascii="宋体" w:hAnsi="宋体" w:eastAsia="宋体" w:cs="宋体"/>
        </w:rPr>
        <w:t>5.在整个报价、磋商、评审过程中，投标人有企图影响成交结果公正性的任何活动或以任何方式诋毁其他投标人或串通报价的。</w:t>
      </w:r>
    </w:p>
    <w:p>
      <w:pPr>
        <w:pStyle w:val="32"/>
        <w:spacing w:line="360" w:lineRule="auto"/>
        <w:ind w:firstLine="0" w:firstLineChars="0"/>
        <w:rPr>
          <w:rFonts w:ascii="宋体" w:hAnsi="宋体" w:eastAsia="宋体" w:cs="宋体"/>
        </w:rPr>
      </w:pPr>
      <w:r>
        <w:rPr>
          <w:rFonts w:hint="eastAsia" w:ascii="宋体" w:hAnsi="宋体" w:eastAsia="宋体" w:cs="宋体"/>
        </w:rPr>
        <w:t>6.中标投标人不按规定签订合同的。</w:t>
      </w:r>
    </w:p>
    <w:p>
      <w:pPr>
        <w:pStyle w:val="32"/>
        <w:spacing w:line="240" w:lineRule="auto"/>
        <w:ind w:firstLine="0" w:firstLineChars="0"/>
        <w:rPr>
          <w:rFonts w:ascii="宋体" w:hAnsi="宋体" w:eastAsia="宋体" w:cs="宋体"/>
        </w:rPr>
      </w:pPr>
      <w:r>
        <w:rPr>
          <w:rFonts w:hint="eastAsia" w:ascii="宋体" w:hAnsi="宋体" w:eastAsia="宋体" w:cs="宋体"/>
        </w:rPr>
        <w:t>7.法律、法规规定的其他情况。</w:t>
      </w:r>
    </w:p>
    <w:p>
      <w:pPr>
        <w:pStyle w:val="35"/>
        <w:spacing w:beforeLines="50" w:line="240" w:lineRule="auto"/>
        <w:jc w:val="both"/>
        <w:outlineLvl w:val="1"/>
        <w:rPr>
          <w:rFonts w:ascii="宋体" w:hAnsi="宋体" w:eastAsia="宋体" w:cs="宋体"/>
          <w:b/>
          <w:bCs/>
          <w:sz w:val="24"/>
        </w:rPr>
      </w:pPr>
      <w:bookmarkStart w:id="47" w:name="_Toc6144"/>
      <w:bookmarkStart w:id="48" w:name="_Toc29036"/>
      <w:bookmarkStart w:id="49" w:name="_Toc23024"/>
      <w:bookmarkStart w:id="50" w:name="_Toc183264293"/>
      <w:bookmarkStart w:id="51" w:name="_Toc22049"/>
      <w:bookmarkStart w:id="52" w:name="_Toc24064"/>
      <w:bookmarkStart w:id="53" w:name="_Toc30729"/>
      <w:bookmarkStart w:id="54" w:name="_Toc31042"/>
      <w:bookmarkStart w:id="55" w:name="_Toc32375"/>
      <w:bookmarkStart w:id="56" w:name="_Toc5047"/>
      <w:bookmarkStart w:id="57" w:name="_Toc17395"/>
      <w:bookmarkStart w:id="58" w:name="_Toc10471"/>
      <w:bookmarkStart w:id="59" w:name="_Toc2442"/>
      <w:r>
        <w:rPr>
          <w:rFonts w:hint="eastAsia" w:ascii="宋体" w:hAnsi="宋体" w:eastAsia="宋体" w:cs="宋体"/>
          <w:b/>
          <w:bCs/>
          <w:sz w:val="24"/>
        </w:rPr>
        <w:t>十一、解释权</w:t>
      </w:r>
      <w:bookmarkEnd w:id="47"/>
      <w:bookmarkEnd w:id="48"/>
      <w:bookmarkEnd w:id="49"/>
      <w:bookmarkEnd w:id="50"/>
      <w:bookmarkEnd w:id="51"/>
      <w:bookmarkEnd w:id="52"/>
      <w:bookmarkEnd w:id="53"/>
      <w:bookmarkEnd w:id="54"/>
      <w:bookmarkEnd w:id="55"/>
      <w:bookmarkEnd w:id="56"/>
      <w:bookmarkEnd w:id="57"/>
      <w:bookmarkEnd w:id="58"/>
      <w:bookmarkEnd w:id="59"/>
    </w:p>
    <w:p>
      <w:pPr>
        <w:pStyle w:val="32"/>
        <w:spacing w:line="360" w:lineRule="auto"/>
        <w:ind w:firstLine="0" w:firstLineChars="0"/>
        <w:rPr>
          <w:rFonts w:ascii="宋体" w:hAnsi="宋体" w:eastAsia="宋体" w:cs="宋体"/>
        </w:rPr>
      </w:pPr>
      <w:r>
        <w:rPr>
          <w:rFonts w:hint="eastAsia" w:ascii="宋体" w:hAnsi="宋体" w:eastAsia="宋体" w:cs="宋体"/>
        </w:rPr>
        <w:t>1.本次采购的最终解释权为招标代理机构，当对一个问题有多种解释时以招标代理机构的书面解释为准。</w:t>
      </w:r>
    </w:p>
    <w:p>
      <w:pPr>
        <w:pStyle w:val="32"/>
        <w:spacing w:line="288" w:lineRule="auto"/>
        <w:ind w:firstLine="0" w:firstLineChars="0"/>
        <w:rPr>
          <w:rFonts w:ascii="宋体" w:hAnsi="宋体" w:eastAsia="宋体" w:cs="宋体"/>
        </w:rPr>
      </w:pPr>
      <w:r>
        <w:rPr>
          <w:rFonts w:hint="eastAsia" w:ascii="宋体" w:hAnsi="宋体" w:eastAsia="宋体" w:cs="宋体"/>
        </w:rPr>
        <w:t>2.招标文件未做明示，而又有相关法律、法规规定的，招标代理机构对此所做解释以相关的法律、法规的规定为依据。</w:t>
      </w:r>
      <w:bookmarkStart w:id="60" w:name="_Toc21217"/>
    </w:p>
    <w:p>
      <w:pPr>
        <w:pStyle w:val="32"/>
        <w:spacing w:line="288" w:lineRule="auto"/>
        <w:ind w:firstLine="0" w:firstLineChars="0"/>
        <w:outlineLvl w:val="1"/>
        <w:rPr>
          <w:rFonts w:ascii="宋体" w:hAnsi="宋体" w:eastAsia="宋体" w:cs="宋体"/>
          <w:b/>
          <w:bCs/>
        </w:rPr>
      </w:pPr>
      <w:bookmarkStart w:id="61" w:name="_Toc11256"/>
      <w:bookmarkStart w:id="62" w:name="_Toc31752"/>
      <w:bookmarkStart w:id="63" w:name="_Toc520"/>
      <w:bookmarkStart w:id="64" w:name="_Toc1044"/>
      <w:bookmarkStart w:id="65" w:name="_Toc13972"/>
      <w:bookmarkStart w:id="66" w:name="_Toc32739"/>
      <w:bookmarkStart w:id="67" w:name="_Toc28566"/>
      <w:bookmarkStart w:id="68" w:name="_Toc26022"/>
      <w:bookmarkStart w:id="69" w:name="_Toc13322"/>
      <w:bookmarkStart w:id="70" w:name="_Toc24033"/>
      <w:r>
        <w:rPr>
          <w:rFonts w:hint="eastAsia" w:ascii="宋体" w:hAnsi="宋体" w:eastAsia="宋体" w:cs="宋体"/>
          <w:b/>
          <w:bCs/>
        </w:rPr>
        <w:t>十二、质疑</w:t>
      </w:r>
      <w:bookmarkEnd w:id="60"/>
      <w:bookmarkEnd w:id="61"/>
      <w:bookmarkEnd w:id="62"/>
      <w:bookmarkEnd w:id="63"/>
      <w:bookmarkEnd w:id="64"/>
      <w:bookmarkEnd w:id="65"/>
      <w:bookmarkEnd w:id="66"/>
      <w:bookmarkEnd w:id="67"/>
      <w:bookmarkEnd w:id="68"/>
      <w:bookmarkEnd w:id="69"/>
      <w:bookmarkEnd w:id="70"/>
    </w:p>
    <w:p>
      <w:pPr>
        <w:pStyle w:val="32"/>
        <w:spacing w:line="360" w:lineRule="auto"/>
        <w:ind w:firstLine="0" w:firstLineChars="0"/>
        <w:rPr>
          <w:rFonts w:ascii="宋体" w:hAnsi="宋体" w:eastAsia="宋体" w:cs="宋体"/>
        </w:rPr>
      </w:pPr>
      <w:r>
        <w:rPr>
          <w:rFonts w:hint="eastAsia" w:ascii="宋体" w:hAnsi="宋体" w:eastAsia="宋体" w:cs="宋体"/>
        </w:rPr>
        <w:t>1.投标人对采购活动事项有疑问的，可以向招标人或招标代理机构提出询问，招标人或招标代理机构将依法作出答复，但答复的内容不涉及商业秘密。</w:t>
      </w:r>
    </w:p>
    <w:p>
      <w:pPr>
        <w:pStyle w:val="32"/>
        <w:spacing w:line="360" w:lineRule="auto"/>
        <w:ind w:firstLine="0" w:firstLineChars="0"/>
        <w:rPr>
          <w:rFonts w:ascii="宋体" w:hAnsi="宋体" w:eastAsia="宋体" w:cs="宋体"/>
        </w:rPr>
      </w:pPr>
      <w:r>
        <w:rPr>
          <w:rFonts w:hint="eastAsia" w:ascii="宋体" w:hAnsi="宋体" w:eastAsia="宋体" w:cs="宋体"/>
        </w:rPr>
        <w:t>2.投标人认为评审过程和成交结果使自己的合法权益受到损害的，可以在知道或者应当知道其权益受到损害之日起7个工作日内，以书面形式向招标人或招标代理机构提出质疑，超过期限不予受理。</w:t>
      </w:r>
    </w:p>
    <w:p>
      <w:pPr>
        <w:pStyle w:val="32"/>
        <w:spacing w:line="360" w:lineRule="auto"/>
        <w:ind w:firstLine="0" w:firstLineChars="0"/>
        <w:rPr>
          <w:rFonts w:ascii="宋体" w:hAnsi="宋体" w:eastAsia="宋体" w:cs="宋体"/>
        </w:rPr>
      </w:pPr>
      <w:r>
        <w:rPr>
          <w:rFonts w:hint="eastAsia" w:ascii="宋体" w:hAnsi="宋体" w:eastAsia="宋体" w:cs="宋体"/>
        </w:rPr>
        <w:t>3.质疑文件应包括以下主要内容，并按照“谁主张、谁举证”的原则，附上相关证明材料。否则，招标人或招标代理机构不予受理：</w:t>
      </w:r>
    </w:p>
    <w:p>
      <w:pPr>
        <w:pStyle w:val="32"/>
        <w:spacing w:line="360" w:lineRule="auto"/>
        <w:ind w:firstLine="0" w:firstLineChars="0"/>
        <w:rPr>
          <w:rFonts w:ascii="宋体" w:hAnsi="宋体" w:eastAsia="宋体" w:cs="宋体"/>
        </w:rPr>
      </w:pPr>
      <w:r>
        <w:rPr>
          <w:rFonts w:hint="eastAsia" w:ascii="宋体" w:hAnsi="宋体" w:eastAsia="宋体" w:cs="宋体"/>
        </w:rPr>
        <w:t>（1）质疑项目名称、项目编号、公告发布时间、公开报价时间；</w:t>
      </w:r>
    </w:p>
    <w:p>
      <w:pPr>
        <w:pStyle w:val="32"/>
        <w:spacing w:line="360" w:lineRule="auto"/>
        <w:ind w:firstLine="0" w:firstLineChars="0"/>
        <w:rPr>
          <w:rFonts w:ascii="宋体" w:hAnsi="宋体" w:eastAsia="宋体" w:cs="宋体"/>
        </w:rPr>
      </w:pPr>
      <w:r>
        <w:rPr>
          <w:rFonts w:hint="eastAsia" w:ascii="宋体" w:hAnsi="宋体" w:eastAsia="宋体" w:cs="宋体"/>
        </w:rPr>
        <w:t>（2）具体的质疑事项及法律依据（具体条款）；</w:t>
      </w:r>
    </w:p>
    <w:p>
      <w:pPr>
        <w:pStyle w:val="32"/>
        <w:spacing w:line="360" w:lineRule="auto"/>
        <w:ind w:firstLine="0" w:firstLineChars="0"/>
        <w:rPr>
          <w:rFonts w:ascii="宋体" w:hAnsi="宋体" w:eastAsia="宋体" w:cs="宋体"/>
        </w:rPr>
      </w:pPr>
      <w:r>
        <w:rPr>
          <w:rFonts w:hint="eastAsia" w:ascii="宋体" w:hAnsi="宋体" w:eastAsia="宋体" w:cs="宋体"/>
        </w:rPr>
        <w:t>（3）质疑相关证明文件或证明材料；</w:t>
      </w:r>
    </w:p>
    <w:p>
      <w:pPr>
        <w:pStyle w:val="32"/>
        <w:spacing w:line="360" w:lineRule="auto"/>
        <w:ind w:firstLine="0" w:firstLineChars="0"/>
        <w:rPr>
          <w:rFonts w:ascii="宋体" w:hAnsi="宋体" w:eastAsia="宋体" w:cs="宋体"/>
        </w:rPr>
      </w:pPr>
      <w:r>
        <w:rPr>
          <w:rFonts w:hint="eastAsia" w:ascii="宋体" w:hAnsi="宋体" w:eastAsia="宋体" w:cs="宋体"/>
        </w:rPr>
        <w:t>（4）质疑投标人名称、地址、联系方式（包括手机、传真号码）；</w:t>
      </w:r>
    </w:p>
    <w:p>
      <w:pPr>
        <w:pStyle w:val="32"/>
        <w:spacing w:line="360" w:lineRule="auto"/>
        <w:ind w:firstLine="0" w:firstLineChars="0"/>
        <w:rPr>
          <w:rFonts w:ascii="宋体" w:hAnsi="宋体" w:eastAsia="宋体" w:cs="宋体"/>
        </w:rPr>
      </w:pPr>
      <w:r>
        <w:rPr>
          <w:rFonts w:hint="eastAsia" w:ascii="宋体" w:hAnsi="宋体" w:eastAsia="宋体" w:cs="宋体"/>
        </w:rPr>
        <w:t>（5）法定代表人签署本人姓名或印盖本人姓名章并加盖单位公章，或法定代表人特别授权加盖单位公章，并由参加招标项目的授权代表签署本人姓名或印盖本人姓名章等。</w:t>
      </w:r>
    </w:p>
    <w:p>
      <w:pPr>
        <w:pStyle w:val="32"/>
        <w:spacing w:line="360" w:lineRule="auto"/>
        <w:ind w:firstLine="0" w:firstLineChars="0"/>
        <w:rPr>
          <w:rFonts w:ascii="宋体" w:hAnsi="宋体" w:eastAsia="宋体" w:cs="宋体"/>
        </w:rPr>
      </w:pPr>
      <w:r>
        <w:rPr>
          <w:rFonts w:hint="eastAsia" w:ascii="宋体" w:hAnsi="宋体" w:eastAsia="宋体" w:cs="宋体"/>
        </w:rPr>
        <w:t>4.投标人不得虚假质疑和恶意质疑，并对质疑内容的真实性承担责任。投标人或者其他利害关系人通过捏造事实、伪造证明材料等方式提出异议或投诉，阻碍采购活动正常进行的，属于严重不良行为，招标人或招标代理机构将提请财政部门列入不良行为记录名单，并依法予以处罚。</w:t>
      </w:r>
    </w:p>
    <w:p>
      <w:pPr>
        <w:pStyle w:val="32"/>
        <w:spacing w:line="360" w:lineRule="auto"/>
        <w:ind w:firstLine="0" w:firstLineChars="0"/>
        <w:rPr>
          <w:rFonts w:ascii="宋体" w:hAnsi="宋体" w:eastAsia="宋体" w:cs="宋体"/>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rPr>
        <w:t>5.招标人或招标代理机构在收到投标人的书面质疑后将及时组织调查核实，在7个工作日内作出答复，并以书面或在网站公告形式通知质疑投标人和其他有关投标人，答复的内容不涉及商业秘密。</w:t>
      </w:r>
    </w:p>
    <w:p>
      <w:pPr>
        <w:pStyle w:val="32"/>
        <w:spacing w:line="360" w:lineRule="auto"/>
        <w:ind w:firstLine="0" w:firstLineChars="0"/>
        <w:rPr>
          <w:rFonts w:ascii="宋体" w:hAnsi="宋体" w:eastAsia="宋体" w:cs="宋体"/>
        </w:rPr>
      </w:pPr>
    </w:p>
    <w:p>
      <w:pPr>
        <w:numPr>
          <w:ilvl w:val="0"/>
          <w:numId w:val="12"/>
        </w:numPr>
        <w:ind w:firstLine="2530" w:firstLineChars="700"/>
        <w:rPr>
          <w:rFonts w:ascii="宋体" w:hAnsi="宋体" w:eastAsia="宋体" w:cs="宋体"/>
          <w:b/>
          <w:bCs/>
          <w:sz w:val="36"/>
          <w:szCs w:val="36"/>
        </w:rPr>
      </w:pPr>
      <w:r>
        <w:rPr>
          <w:rFonts w:hint="eastAsia" w:ascii="宋体" w:hAnsi="宋体" w:eastAsia="宋体" w:cs="宋体"/>
          <w:b/>
          <w:bCs/>
          <w:sz w:val="36"/>
          <w:szCs w:val="36"/>
        </w:rPr>
        <w:t>项目说明</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一、</w:t>
      </w:r>
      <w:r>
        <w:rPr>
          <w:rFonts w:hint="eastAsia" w:asciiTheme="minorEastAsia" w:hAnsiTheme="minorEastAsia" w:eastAsiaTheme="minorEastAsia" w:cstheme="minorEastAsia"/>
          <w:sz w:val="24"/>
        </w:rPr>
        <w:t>我市共有67个考核断面，目前已有17个断面已安装自动在线监测设施。为更好的掌握全市重要水质断面和当前还不能稳定达标断面水质变化趋势，以便做出及时、准确、快速的反应，实现水质改善，拟在12个断面增加水质在线监测设施。</w:t>
      </w:r>
    </w:p>
    <w:p>
      <w:pPr>
        <w:adjustRightInd w:val="0"/>
        <w:snapToGrid w:val="0"/>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表    拟建水质在线监测站点表</w:t>
      </w:r>
    </w:p>
    <w:tbl>
      <w:tblPr>
        <w:tblStyle w:val="2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2551"/>
        <w:gridCol w:w="141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序号</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区县</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断面名称</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考核类别</w:t>
            </w:r>
          </w:p>
        </w:tc>
        <w:tc>
          <w:tcPr>
            <w:tcW w:w="2318" w:type="dxa"/>
            <w:vAlign w:val="center"/>
          </w:tcPr>
          <w:p>
            <w:pPr>
              <w:spacing w:line="360" w:lineRule="auto"/>
              <w:jc w:val="center"/>
              <w:rPr>
                <w:rFonts w:ascii="宋体" w:hAnsi="宋体" w:eastAsia="宋体"/>
                <w:szCs w:val="21"/>
              </w:rPr>
            </w:pPr>
            <w:r>
              <w:rPr>
                <w:rFonts w:hint="eastAsia" w:ascii="宋体" w:hAnsi="宋体" w:eastAsia="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天桥区</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小清河生产路桥</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Ⅴ</w:t>
            </w:r>
          </w:p>
        </w:tc>
        <w:tc>
          <w:tcPr>
            <w:tcW w:w="2318" w:type="dxa"/>
            <w:vAlign w:val="center"/>
          </w:tcPr>
          <w:p>
            <w:pPr>
              <w:spacing w:line="360" w:lineRule="auto"/>
              <w:jc w:val="center"/>
              <w:rPr>
                <w:rFonts w:ascii="宋体" w:hAnsi="宋体" w:eastAsia="宋体"/>
                <w:szCs w:val="21"/>
              </w:rPr>
            </w:pPr>
            <w:r>
              <w:rPr>
                <w:rFonts w:hint="eastAsia" w:ascii="宋体" w:hAnsi="宋体" w:eastAsia="宋体"/>
                <w:szCs w:val="21"/>
              </w:rPr>
              <w:t>国标法小型站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历城区</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小清河二环东路桥</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Ⅴ</w:t>
            </w:r>
          </w:p>
        </w:tc>
        <w:tc>
          <w:tcPr>
            <w:tcW w:w="2318" w:type="dxa"/>
            <w:vAlign w:val="center"/>
          </w:tcPr>
          <w:p>
            <w:pPr>
              <w:spacing w:line="360" w:lineRule="auto"/>
              <w:jc w:val="center"/>
              <w:rPr>
                <w:rFonts w:ascii="宋体" w:hAnsi="宋体" w:eastAsia="宋体"/>
                <w:szCs w:val="21"/>
              </w:rPr>
            </w:pPr>
            <w:r>
              <w:rPr>
                <w:rFonts w:hint="eastAsia" w:ascii="宋体" w:hAnsi="宋体" w:eastAsia="宋体"/>
                <w:szCs w:val="21"/>
              </w:rPr>
              <w:t>国标法小型站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天桥区</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小清河板桥</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Ⅴ</w:t>
            </w:r>
          </w:p>
        </w:tc>
        <w:tc>
          <w:tcPr>
            <w:tcW w:w="2318" w:type="dxa"/>
            <w:vAlign w:val="center"/>
          </w:tcPr>
          <w:p>
            <w:pPr>
              <w:spacing w:line="360" w:lineRule="auto"/>
              <w:jc w:val="center"/>
              <w:rPr>
                <w:rFonts w:ascii="宋体" w:hAnsi="宋体" w:eastAsia="宋体"/>
                <w:szCs w:val="21"/>
              </w:rP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历城区</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小清河洪园闸</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Ⅴ</w:t>
            </w:r>
          </w:p>
        </w:tc>
        <w:tc>
          <w:tcPr>
            <w:tcW w:w="2318" w:type="dxa"/>
          </w:tcPr>
          <w:p>
            <w:pPr>
              <w:spacing w:line="360" w:lineRule="auto"/>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5</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章丘区</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小清河辛丰庄</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Ⅴ</w:t>
            </w:r>
          </w:p>
        </w:tc>
        <w:tc>
          <w:tcPr>
            <w:tcW w:w="2318" w:type="dxa"/>
          </w:tcPr>
          <w:p>
            <w:pPr>
              <w:spacing w:line="360" w:lineRule="auto"/>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6</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天桥区</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西泺河入小清河口</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Ⅴ</w:t>
            </w:r>
          </w:p>
        </w:tc>
        <w:tc>
          <w:tcPr>
            <w:tcW w:w="2318" w:type="dxa"/>
          </w:tcPr>
          <w:p>
            <w:pPr>
              <w:spacing w:line="360" w:lineRule="auto"/>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7</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天桥区</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东泺河入小清河口</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Ⅴ</w:t>
            </w:r>
          </w:p>
        </w:tc>
        <w:tc>
          <w:tcPr>
            <w:tcW w:w="2318" w:type="dxa"/>
          </w:tcPr>
          <w:p>
            <w:pPr>
              <w:spacing w:line="360" w:lineRule="auto"/>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8</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天桥区</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后引河入小清河口</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Ⅴ</w:t>
            </w:r>
          </w:p>
        </w:tc>
        <w:tc>
          <w:tcPr>
            <w:tcW w:w="2318" w:type="dxa"/>
          </w:tcPr>
          <w:p>
            <w:pPr>
              <w:spacing w:line="360" w:lineRule="auto"/>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9</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历城区</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小汉峪沟入小清河口</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Ⅴ</w:t>
            </w:r>
          </w:p>
        </w:tc>
        <w:tc>
          <w:tcPr>
            <w:tcW w:w="2318" w:type="dxa"/>
          </w:tcPr>
          <w:p>
            <w:pPr>
              <w:spacing w:line="360" w:lineRule="auto"/>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10</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平阴县</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锦水河城西洼</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Ⅳ</w:t>
            </w:r>
          </w:p>
        </w:tc>
        <w:tc>
          <w:tcPr>
            <w:tcW w:w="2318" w:type="dxa"/>
          </w:tcPr>
          <w:p>
            <w:pPr>
              <w:spacing w:line="360" w:lineRule="auto"/>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11</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长清区</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北大沙河老王府</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Ⅳ</w:t>
            </w:r>
          </w:p>
        </w:tc>
        <w:tc>
          <w:tcPr>
            <w:tcW w:w="2318" w:type="dxa"/>
          </w:tcPr>
          <w:p>
            <w:pPr>
              <w:spacing w:line="360" w:lineRule="auto"/>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eastAsia="宋体"/>
                <w:szCs w:val="21"/>
              </w:rPr>
            </w:pPr>
            <w:r>
              <w:rPr>
                <w:rFonts w:hint="eastAsia" w:ascii="宋体" w:hAnsi="宋体" w:eastAsia="宋体"/>
                <w:szCs w:val="21"/>
              </w:rPr>
              <w:t>12</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钢城区</w:t>
            </w:r>
          </w:p>
        </w:tc>
        <w:tc>
          <w:tcPr>
            <w:tcW w:w="2551" w:type="dxa"/>
            <w:vAlign w:val="center"/>
          </w:tcPr>
          <w:p>
            <w:pPr>
              <w:spacing w:line="360" w:lineRule="auto"/>
              <w:jc w:val="center"/>
              <w:rPr>
                <w:rFonts w:ascii="宋体" w:hAnsi="宋体" w:eastAsia="宋体"/>
                <w:szCs w:val="21"/>
              </w:rPr>
            </w:pPr>
            <w:r>
              <w:rPr>
                <w:rFonts w:hint="eastAsia" w:ascii="宋体" w:hAnsi="宋体" w:eastAsia="宋体"/>
                <w:szCs w:val="21"/>
              </w:rPr>
              <w:t>牟汶河寨子河桥</w:t>
            </w:r>
          </w:p>
        </w:tc>
        <w:tc>
          <w:tcPr>
            <w:tcW w:w="1418" w:type="dxa"/>
            <w:vAlign w:val="center"/>
          </w:tcPr>
          <w:p>
            <w:pPr>
              <w:spacing w:line="360" w:lineRule="auto"/>
              <w:jc w:val="center"/>
              <w:rPr>
                <w:rFonts w:ascii="宋体" w:hAnsi="宋体" w:eastAsia="宋体"/>
                <w:szCs w:val="21"/>
              </w:rPr>
            </w:pPr>
            <w:r>
              <w:rPr>
                <w:rFonts w:hint="eastAsia" w:ascii="宋体" w:hAnsi="宋体" w:eastAsia="宋体"/>
                <w:szCs w:val="21"/>
              </w:rPr>
              <w:t>Ⅲ</w:t>
            </w:r>
          </w:p>
        </w:tc>
        <w:tc>
          <w:tcPr>
            <w:tcW w:w="2318" w:type="dxa"/>
          </w:tcPr>
          <w:p>
            <w:pPr>
              <w:spacing w:line="360" w:lineRule="auto"/>
              <w:jc w:val="center"/>
            </w:pPr>
            <w:r>
              <w:rPr>
                <w:rFonts w:hint="eastAsia" w:ascii="宋体" w:hAnsi="宋体" w:eastAsia="宋体"/>
                <w:szCs w:val="21"/>
              </w:rPr>
              <w:t>非国标法微型站</w:t>
            </w:r>
          </w:p>
        </w:tc>
      </w:tr>
    </w:tbl>
    <w:p>
      <w:pPr>
        <w:spacing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二、济南市生态环境局市控重点河流断面水质在线监测建设（一期）服务采购项目采用BO模式，实行“运营单位建设运行、质控单位质量比对、环保部门管理考核并购买合格数据”的管理模式。即济南市生态环境局组织公开招标运营单位，运营单位按要求购置自动监测设备，建设并负责运营维护及设备更新，出具合格的监测数据；济南市生态环境局组织公开招标质控单位，质控单位对在运营的监测设备进行质量比对；济南市生态环境局对运营单位、质控单位进行考核管理，购买符合质量要求的监测数据，监测数据归济南市生态环境局所有。</w:t>
      </w:r>
    </w:p>
    <w:p>
      <w:pPr>
        <w:spacing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采购项目分包情况：A包：BO模式的2个国标法小型站；B包：BO模式的10个非国标法微型站；C包：2个国标法小型站和10个非国标法微型站的质控管理。本项目不兼投，供应商</w:t>
      </w:r>
      <w:r>
        <w:rPr>
          <w:rFonts w:hint="eastAsia" w:ascii="宋体" w:hAnsi="宋体" w:cs="宋体"/>
          <w:kern w:val="0"/>
          <w:sz w:val="24"/>
        </w:rPr>
        <w:t>只能选择一个包投标</w:t>
      </w:r>
      <w:r>
        <w:rPr>
          <w:rFonts w:hint="eastAsia" w:asciiTheme="minorEastAsia" w:hAnsiTheme="minorEastAsia" w:eastAsiaTheme="minorEastAsia" w:cstheme="minorEastAsia"/>
          <w:sz w:val="24"/>
          <w:lang w:eastAsia="zh-CN"/>
        </w:rPr>
        <w:t>。</w:t>
      </w:r>
    </w:p>
    <w:p>
      <w:pPr>
        <w:spacing w:line="360" w:lineRule="auto"/>
        <w:rPr>
          <w:rFonts w:ascii="宋体" w:hAnsi="宋体" w:eastAsia="宋体" w:cstheme="minorEastAsia"/>
          <w:b/>
          <w:sz w:val="32"/>
          <w:szCs w:val="32"/>
        </w:rPr>
      </w:pPr>
      <w:r>
        <w:rPr>
          <w:rFonts w:hint="eastAsia" w:ascii="宋体" w:hAnsi="宋体" w:eastAsia="宋体" w:cstheme="minorEastAsia"/>
          <w:b/>
          <w:sz w:val="32"/>
          <w:szCs w:val="32"/>
        </w:rPr>
        <w:t>A包：国标法小型站建设内容</w:t>
      </w:r>
    </w:p>
    <w:p>
      <w:pPr>
        <w:adjustRightInd w:val="0"/>
        <w:snapToGrid w:val="0"/>
        <w:ind w:firstLine="295" w:firstLineChars="98"/>
        <w:outlineLvl w:val="2"/>
        <w:rPr>
          <w:rFonts w:ascii="宋体" w:hAnsi="宋体" w:eastAsia="宋体"/>
          <w:b/>
          <w:sz w:val="30"/>
          <w:szCs w:val="30"/>
        </w:rPr>
      </w:pPr>
      <w:r>
        <w:rPr>
          <w:rFonts w:hint="eastAsia" w:ascii="宋体" w:hAnsi="宋体" w:eastAsia="宋体"/>
          <w:b/>
          <w:sz w:val="30"/>
          <w:szCs w:val="30"/>
        </w:rPr>
        <w:t>一、项目</w:t>
      </w:r>
      <w:r>
        <w:rPr>
          <w:rFonts w:ascii="宋体" w:hAnsi="宋体" w:eastAsia="宋体"/>
          <w:b/>
          <w:sz w:val="30"/>
          <w:szCs w:val="30"/>
        </w:rPr>
        <w:t>概述</w:t>
      </w:r>
    </w:p>
    <w:p>
      <w:pPr>
        <w:spacing w:line="360" w:lineRule="auto"/>
        <w:ind w:firstLine="480" w:firstLineChars="200"/>
        <w:rPr>
          <w:rFonts w:ascii="宋体" w:hAnsi="宋体" w:eastAsia="宋体"/>
          <w:sz w:val="24"/>
        </w:rPr>
      </w:pPr>
      <w:r>
        <w:rPr>
          <w:rFonts w:hint="eastAsia" w:ascii="宋体" w:hAnsi="宋体" w:eastAsia="宋体"/>
          <w:sz w:val="24"/>
        </w:rPr>
        <w:t>拟在小清河生产路桥、二环东路桥2个断面采用国标法建设小型站。每个小型站站房面积不大于4平方，监测指标为：化学需氧量、氨氮、溶解氧、电导率、浊度、PH、水温。</w:t>
      </w:r>
    </w:p>
    <w:p>
      <w:pPr>
        <w:spacing w:line="360" w:lineRule="auto"/>
        <w:ind w:firstLine="480" w:firstLineChars="200"/>
        <w:rPr>
          <w:rFonts w:ascii="宋体" w:hAnsi="宋体" w:eastAsia="宋体"/>
          <w:sz w:val="24"/>
        </w:rPr>
      </w:pPr>
      <w:r>
        <w:rPr>
          <w:rFonts w:hint="eastAsia" w:ascii="宋体" w:hAnsi="宋体" w:eastAsia="宋体"/>
          <w:sz w:val="24"/>
        </w:rPr>
        <w:t>项目采购采用政府招标形式，建设采用BO模式，中标商负责出资进行项目建设及运营，</w:t>
      </w:r>
      <w:r>
        <w:rPr>
          <w:rFonts w:ascii="宋体" w:hAnsi="宋体" w:eastAsia="宋体"/>
          <w:sz w:val="24"/>
        </w:rPr>
        <w:t>出具合格的监测数据</w:t>
      </w:r>
      <w:r>
        <w:rPr>
          <w:rFonts w:hint="eastAsia" w:ascii="宋体" w:hAnsi="宋体" w:eastAsia="宋体"/>
          <w:sz w:val="24"/>
        </w:rPr>
        <w:t>；济南市生态环境局</w:t>
      </w:r>
      <w:r>
        <w:rPr>
          <w:rFonts w:ascii="宋体" w:hAnsi="宋体" w:eastAsia="宋体"/>
          <w:sz w:val="24"/>
        </w:rPr>
        <w:t>对运营单位进行考核管理，出资购买符合质量要求的监测数据，监测数据归</w:t>
      </w:r>
      <w:r>
        <w:rPr>
          <w:rFonts w:hint="eastAsia" w:ascii="宋体" w:hAnsi="宋体" w:eastAsia="宋体"/>
          <w:sz w:val="24"/>
        </w:rPr>
        <w:t>济南市生态环境局</w:t>
      </w:r>
      <w:r>
        <w:rPr>
          <w:rFonts w:ascii="宋体" w:hAnsi="宋体" w:eastAsia="宋体"/>
          <w:sz w:val="24"/>
        </w:rPr>
        <w:t>所有。</w:t>
      </w:r>
    </w:p>
    <w:p>
      <w:pPr>
        <w:spacing w:line="360" w:lineRule="auto"/>
        <w:ind w:firstLine="480" w:firstLineChars="200"/>
        <w:rPr>
          <w:rFonts w:ascii="宋体" w:hAnsi="宋体" w:eastAsia="宋体"/>
          <w:sz w:val="24"/>
        </w:rPr>
      </w:pPr>
      <w:r>
        <w:rPr>
          <w:rFonts w:hint="eastAsia" w:ascii="宋体" w:hAnsi="宋体" w:eastAsia="宋体"/>
          <w:sz w:val="24"/>
        </w:rPr>
        <w:t>项目建设完成、验收后，济南市生态环境局与项目中标商签订一年服务合同，如当年考核得分在</w:t>
      </w:r>
      <w:r>
        <w:rPr>
          <w:rFonts w:ascii="宋体" w:hAnsi="宋体" w:eastAsia="宋体"/>
          <w:sz w:val="24"/>
        </w:rPr>
        <w:t>80</w:t>
      </w:r>
      <w:r>
        <w:rPr>
          <w:rFonts w:hint="eastAsia" w:ascii="宋体" w:hAnsi="宋体" w:eastAsia="宋体"/>
          <w:sz w:val="24"/>
        </w:rPr>
        <w:t>分以上（含），则第二年续签，以此类推，可续签至五年，之后经双方协商，选择是否续签。</w:t>
      </w:r>
    </w:p>
    <w:p>
      <w:pPr>
        <w:spacing w:line="360" w:lineRule="auto"/>
        <w:outlineLvl w:val="2"/>
        <w:rPr>
          <w:rFonts w:ascii="宋体" w:hAnsi="宋体" w:eastAsia="宋体"/>
          <w:b/>
          <w:sz w:val="30"/>
          <w:szCs w:val="30"/>
        </w:rPr>
      </w:pPr>
      <w:r>
        <w:rPr>
          <w:rFonts w:hint="eastAsia" w:ascii="宋体" w:hAnsi="宋体" w:eastAsia="宋体"/>
          <w:b/>
          <w:sz w:val="30"/>
          <w:szCs w:val="30"/>
        </w:rPr>
        <w:t>二、</w:t>
      </w:r>
      <w:r>
        <w:rPr>
          <w:rFonts w:ascii="宋体" w:hAnsi="宋体" w:eastAsia="宋体"/>
          <w:b/>
          <w:sz w:val="30"/>
          <w:szCs w:val="30"/>
        </w:rPr>
        <w:t>系统构成</w:t>
      </w:r>
    </w:p>
    <w:p>
      <w:pPr>
        <w:spacing w:line="360" w:lineRule="auto"/>
        <w:ind w:firstLine="480" w:firstLineChars="200"/>
        <w:rPr>
          <w:rFonts w:ascii="宋体" w:hAnsi="宋体" w:eastAsia="宋体"/>
          <w:sz w:val="24"/>
        </w:rPr>
      </w:pPr>
      <w:r>
        <w:rPr>
          <w:rFonts w:ascii="宋体" w:hAnsi="宋体" w:eastAsia="宋体"/>
          <w:sz w:val="24"/>
        </w:rPr>
        <w:t>水质自动监</w:t>
      </w:r>
      <w:r>
        <w:rPr>
          <w:rFonts w:hint="eastAsia" w:ascii="宋体" w:hAnsi="宋体" w:eastAsia="宋体"/>
          <w:sz w:val="24"/>
        </w:rPr>
        <w:t>测</w:t>
      </w:r>
      <w:r>
        <w:rPr>
          <w:rFonts w:ascii="宋体" w:hAnsi="宋体" w:eastAsia="宋体"/>
          <w:sz w:val="24"/>
        </w:rPr>
        <w:t>系统由站房、分析</w:t>
      </w:r>
      <w:r>
        <w:rPr>
          <w:rFonts w:hint="eastAsia" w:ascii="宋体" w:hAnsi="宋体" w:eastAsia="宋体"/>
          <w:sz w:val="24"/>
        </w:rPr>
        <w:t>部分、</w:t>
      </w:r>
      <w:r>
        <w:rPr>
          <w:rFonts w:ascii="宋体" w:hAnsi="宋体" w:eastAsia="宋体"/>
          <w:sz w:val="24"/>
        </w:rPr>
        <w:t>测控部分</w:t>
      </w:r>
      <w:r>
        <w:rPr>
          <w:rFonts w:hint="eastAsia" w:ascii="宋体" w:hAnsi="宋体" w:eastAsia="宋体"/>
          <w:sz w:val="24"/>
        </w:rPr>
        <w:t>、</w:t>
      </w:r>
      <w:r>
        <w:rPr>
          <w:rFonts w:ascii="宋体" w:hAnsi="宋体" w:eastAsia="宋体"/>
          <w:sz w:val="24"/>
        </w:rPr>
        <w:t>运行环境支持部分组成，监测指标为：</w:t>
      </w:r>
      <w:r>
        <w:rPr>
          <w:rFonts w:hint="eastAsia" w:ascii="宋体" w:hAnsi="宋体" w:eastAsia="宋体"/>
          <w:sz w:val="24"/>
        </w:rPr>
        <w:t>化学需氧量</w:t>
      </w:r>
      <w:r>
        <w:rPr>
          <w:rFonts w:ascii="宋体" w:hAnsi="宋体" w:eastAsia="宋体"/>
          <w:sz w:val="24"/>
        </w:rPr>
        <w:t>、氨氮、溶解氧、电导率、浊度、PH、水温。</w:t>
      </w:r>
    </w:p>
    <w:p>
      <w:pPr>
        <w:spacing w:line="360" w:lineRule="auto"/>
        <w:ind w:firstLine="480" w:firstLineChars="200"/>
        <w:rPr>
          <w:rFonts w:ascii="宋体" w:hAnsi="宋体" w:eastAsia="宋体"/>
          <w:sz w:val="24"/>
        </w:rPr>
      </w:pPr>
      <w:r>
        <w:rPr>
          <w:rFonts w:hint="eastAsia" w:ascii="宋体" w:hAnsi="宋体" w:eastAsia="宋体"/>
          <w:sz w:val="24"/>
        </w:rPr>
        <w:t>站房</w:t>
      </w:r>
      <w:r>
        <w:rPr>
          <w:rFonts w:ascii="宋体" w:hAnsi="宋体" w:eastAsia="宋体"/>
          <w:sz w:val="24"/>
        </w:rPr>
        <w:t>采用简易一体柜式水质自动监测站，站房面积</w:t>
      </w:r>
      <w:r>
        <w:rPr>
          <w:rFonts w:hint="eastAsia" w:ascii="宋体" w:hAnsi="宋体" w:eastAsia="宋体"/>
          <w:sz w:val="24"/>
        </w:rPr>
        <w:t>不大于4</w:t>
      </w:r>
      <w:r>
        <w:rPr>
          <w:rFonts w:ascii="宋体" w:hAnsi="宋体" w:eastAsia="宋体"/>
          <w:sz w:val="24"/>
        </w:rPr>
        <w:t>m</w:t>
      </w:r>
      <w:r>
        <w:rPr>
          <w:rFonts w:ascii="宋体" w:hAnsi="宋体" w:eastAsia="宋体"/>
          <w:sz w:val="24"/>
          <w:vertAlign w:val="superscript"/>
        </w:rPr>
        <w:t>2</w:t>
      </w:r>
      <w:r>
        <w:rPr>
          <w:rFonts w:ascii="宋体" w:hAnsi="宋体" w:eastAsia="宋体"/>
          <w:sz w:val="24"/>
        </w:rPr>
        <w:t>，可根据现场需要移动监测点</w:t>
      </w:r>
      <w:r>
        <w:rPr>
          <w:rFonts w:hint="eastAsia" w:ascii="宋体" w:hAnsi="宋体" w:eastAsia="宋体"/>
          <w:sz w:val="24"/>
        </w:rPr>
        <w:t>位</w:t>
      </w:r>
      <w:r>
        <w:rPr>
          <w:rFonts w:ascii="宋体" w:hAnsi="宋体" w:eastAsia="宋体"/>
          <w:sz w:val="24"/>
        </w:rPr>
        <w:t>进行监测。</w:t>
      </w:r>
    </w:p>
    <w:p>
      <w:pPr>
        <w:spacing w:line="360" w:lineRule="auto"/>
        <w:ind w:firstLine="480" w:firstLineChars="200"/>
        <w:rPr>
          <w:rFonts w:ascii="宋体" w:hAnsi="宋体" w:eastAsia="宋体"/>
          <w:sz w:val="24"/>
        </w:rPr>
      </w:pPr>
      <w:r>
        <w:rPr>
          <w:rFonts w:ascii="宋体" w:hAnsi="宋体" w:eastAsia="宋体"/>
          <w:sz w:val="24"/>
        </w:rPr>
        <w:t>分析部分包括取水单元、配水单元、传输单元、预处理单元和分析仪表单元，辅助分析部分包括清洗单元、除藻清洗单元，测控部分包括控制器、主控计算机、通讯设备和应用软件，运行环境支持部分包括站房基础、电源、空调、防雷、安全等设备。</w:t>
      </w:r>
    </w:p>
    <w:p>
      <w:pPr>
        <w:spacing w:line="360" w:lineRule="auto"/>
        <w:outlineLvl w:val="2"/>
        <w:rPr>
          <w:rFonts w:ascii="宋体" w:hAnsi="宋体" w:eastAsia="宋体"/>
          <w:b/>
          <w:sz w:val="30"/>
          <w:szCs w:val="30"/>
        </w:rPr>
      </w:pPr>
      <w:r>
        <w:rPr>
          <w:rFonts w:hint="eastAsia" w:ascii="宋体" w:hAnsi="宋体" w:eastAsia="宋体"/>
          <w:b/>
          <w:sz w:val="30"/>
          <w:szCs w:val="30"/>
        </w:rPr>
        <w:t>三、站房系统</w:t>
      </w:r>
    </w:p>
    <w:p>
      <w:pPr>
        <w:spacing w:line="360" w:lineRule="auto"/>
        <w:outlineLvl w:val="3"/>
        <w:rPr>
          <w:rFonts w:ascii="宋体" w:hAnsi="宋体" w:eastAsia="宋体"/>
          <w:b/>
          <w:sz w:val="28"/>
          <w:szCs w:val="28"/>
        </w:rPr>
      </w:pPr>
      <w:r>
        <w:rPr>
          <w:rFonts w:hint="eastAsia" w:ascii="宋体" w:hAnsi="宋体" w:eastAsia="宋体"/>
          <w:b/>
          <w:sz w:val="28"/>
          <w:szCs w:val="28"/>
        </w:rPr>
        <w:t>（一）站房基本技术要求</w:t>
      </w:r>
    </w:p>
    <w:p>
      <w:pPr>
        <w:spacing w:line="360" w:lineRule="auto"/>
        <w:rPr>
          <w:rFonts w:ascii="宋体" w:hAnsi="宋体" w:eastAsia="宋体"/>
          <w:sz w:val="24"/>
        </w:rPr>
      </w:pPr>
      <w:r>
        <w:rPr>
          <w:rFonts w:ascii="宋体" w:hAnsi="宋体" w:eastAsia="宋体"/>
          <w:sz w:val="24"/>
        </w:rPr>
        <w:t>1</w:t>
      </w:r>
      <w:r>
        <w:rPr>
          <w:rFonts w:hint="eastAsia" w:ascii="宋体" w:hAnsi="宋体" w:eastAsia="宋体"/>
          <w:sz w:val="24"/>
        </w:rPr>
        <w:t>．</w:t>
      </w:r>
      <w:r>
        <w:rPr>
          <w:rFonts w:ascii="宋体" w:hAnsi="宋体" w:eastAsia="宋体"/>
          <w:sz w:val="24"/>
        </w:rPr>
        <w:t>在站房安装点位建设好地基，</w:t>
      </w:r>
      <w:r>
        <w:rPr>
          <w:rFonts w:hint="eastAsia" w:ascii="宋体" w:hAnsi="宋体" w:eastAsia="宋体"/>
          <w:sz w:val="24"/>
        </w:rPr>
        <w:t>高于地面30cm，</w:t>
      </w:r>
      <w:r>
        <w:rPr>
          <w:rFonts w:ascii="宋体" w:hAnsi="宋体" w:eastAsia="宋体"/>
          <w:sz w:val="24"/>
        </w:rPr>
        <w:t>地基满足50年一遇的洪水要求</w:t>
      </w:r>
      <w:r>
        <w:rPr>
          <w:rFonts w:hint="eastAsia" w:ascii="宋体" w:hAnsi="宋体" w:eastAsia="宋体"/>
          <w:sz w:val="24"/>
        </w:rPr>
        <w:t>。</w:t>
      </w:r>
    </w:p>
    <w:p>
      <w:pPr>
        <w:spacing w:line="360" w:lineRule="auto"/>
        <w:rPr>
          <w:rFonts w:ascii="宋体" w:hAnsi="宋体" w:eastAsia="宋体"/>
          <w:sz w:val="24"/>
        </w:rPr>
      </w:pPr>
      <w:r>
        <w:rPr>
          <w:rFonts w:hint="eastAsia" w:ascii="宋体" w:hAnsi="宋体" w:eastAsia="宋体"/>
          <w:sz w:val="24"/>
        </w:rPr>
        <w:t>2.</w:t>
      </w:r>
      <w:r>
        <w:rPr>
          <w:rFonts w:ascii="宋体" w:hAnsi="宋体" w:eastAsia="宋体"/>
          <w:sz w:val="24"/>
        </w:rPr>
        <w:t>水质自动站采水点位应选择不易受自然环境破坏，同时，应能满足不同采水方式设备的施工和安装，水面水平距离与站房小于100米，水深应当满足自动监测仪器采水的最低（50cm）要求</w:t>
      </w:r>
      <w:r>
        <w:rPr>
          <w:rFonts w:hint="eastAsia" w:ascii="宋体" w:hAnsi="宋体" w:eastAsia="宋体"/>
          <w:sz w:val="24"/>
        </w:rPr>
        <w:t>。</w:t>
      </w:r>
    </w:p>
    <w:p>
      <w:pPr>
        <w:spacing w:line="360" w:lineRule="auto"/>
        <w:rPr>
          <w:rFonts w:ascii="宋体" w:hAnsi="宋体" w:eastAsia="宋体"/>
          <w:sz w:val="24"/>
        </w:rPr>
      </w:pPr>
      <w:r>
        <w:rPr>
          <w:rFonts w:hint="eastAsia" w:ascii="宋体" w:hAnsi="宋体" w:eastAsia="宋体"/>
          <w:sz w:val="24"/>
        </w:rPr>
        <w:t>3.</w:t>
      </w:r>
      <w:r>
        <w:rPr>
          <w:rFonts w:ascii="宋体" w:hAnsi="宋体" w:eastAsia="宋体"/>
          <w:sz w:val="24"/>
        </w:rPr>
        <w:t>站房所建位置的地理条件和周围环境，要安全可靠，便于工作人员的工作和对水站的管理</w:t>
      </w:r>
      <w:r>
        <w:rPr>
          <w:rFonts w:hint="eastAsia" w:ascii="宋体" w:hAnsi="宋体" w:eastAsia="宋体"/>
          <w:sz w:val="24"/>
        </w:rPr>
        <w:t>。</w:t>
      </w:r>
    </w:p>
    <w:p>
      <w:pPr>
        <w:autoSpaceDE w:val="0"/>
        <w:autoSpaceDN w:val="0"/>
        <w:spacing w:line="360" w:lineRule="auto"/>
        <w:rPr>
          <w:rFonts w:ascii="宋体" w:hAnsi="宋体" w:eastAsia="宋体"/>
          <w:sz w:val="24"/>
        </w:rPr>
      </w:pPr>
      <w:r>
        <w:rPr>
          <w:rFonts w:hint="eastAsia" w:ascii="宋体" w:hAnsi="宋体" w:eastAsia="宋体"/>
          <w:sz w:val="24"/>
        </w:rPr>
        <w:t>4.</w:t>
      </w:r>
      <w:r>
        <w:rPr>
          <w:rFonts w:ascii="宋体" w:hAnsi="宋体" w:eastAsia="宋体"/>
          <w:sz w:val="24"/>
        </w:rPr>
        <w:t>投标人自行勘察各站点的现场情况，设计相应的供电</w:t>
      </w:r>
      <w:r>
        <w:rPr>
          <w:rFonts w:hint="eastAsia" w:ascii="宋体" w:hAnsi="宋体" w:eastAsia="宋体"/>
          <w:sz w:val="24"/>
        </w:rPr>
        <w:t>、供水</w:t>
      </w:r>
      <w:r>
        <w:rPr>
          <w:rFonts w:ascii="宋体" w:hAnsi="宋体" w:eastAsia="宋体"/>
          <w:sz w:val="24"/>
        </w:rPr>
        <w:t>方案</w:t>
      </w:r>
      <w:r>
        <w:rPr>
          <w:rFonts w:hint="eastAsia" w:ascii="宋体" w:hAnsi="宋体" w:eastAsia="宋体"/>
          <w:sz w:val="24"/>
        </w:rPr>
        <w:t>。供电负荷等级和供电要求按现行国家标准《供配电系统设计规范》（</w:t>
      </w:r>
      <w:r>
        <w:rPr>
          <w:rFonts w:ascii="宋体" w:hAnsi="宋体" w:eastAsia="宋体"/>
          <w:sz w:val="24"/>
        </w:rPr>
        <w:t>GB50052</w:t>
      </w:r>
      <w:r>
        <w:rPr>
          <w:rFonts w:hint="eastAsia" w:ascii="宋体" w:hAnsi="宋体" w:eastAsia="宋体"/>
          <w:sz w:val="24"/>
        </w:rPr>
        <w:t>）的规定执行，水站供电电源使用</w:t>
      </w:r>
      <w:r>
        <w:rPr>
          <w:rFonts w:ascii="宋体" w:hAnsi="宋体" w:eastAsia="宋体"/>
          <w:sz w:val="24"/>
        </w:rPr>
        <w:t>380</w:t>
      </w:r>
      <w:r>
        <w:rPr>
          <w:rFonts w:hint="eastAsia" w:ascii="宋体" w:hAnsi="宋体" w:eastAsia="宋体"/>
          <w:sz w:val="24"/>
        </w:rPr>
        <w:t>伏特交流电、三相五线制、频率</w:t>
      </w:r>
      <w:r>
        <w:rPr>
          <w:rFonts w:ascii="宋体" w:hAnsi="宋体" w:eastAsia="宋体"/>
          <w:sz w:val="24"/>
        </w:rPr>
        <w:t>50</w:t>
      </w:r>
      <w:r>
        <w:rPr>
          <w:rFonts w:hint="eastAsia" w:ascii="宋体" w:hAnsi="宋体" w:eastAsia="宋体"/>
          <w:sz w:val="24"/>
        </w:rPr>
        <w:t>赫兹，电源容量不少于5KW，电源线引入方式符合国家相关标准，施工参考《建筑电气工程施工质量验收规范》（</w:t>
      </w:r>
      <w:r>
        <w:rPr>
          <w:rFonts w:ascii="宋体" w:hAnsi="宋体" w:eastAsia="宋体"/>
          <w:sz w:val="24"/>
        </w:rPr>
        <w:t>GB 50303-2002</w:t>
      </w:r>
      <w:r>
        <w:rPr>
          <w:rFonts w:hint="eastAsia" w:ascii="宋体" w:hAnsi="宋体" w:eastAsia="宋体"/>
          <w:sz w:val="24"/>
        </w:rPr>
        <w:t>）。水站附近无自来水可接入，投标人自行设计解决水站系统运行所需清洁水。</w:t>
      </w:r>
    </w:p>
    <w:p>
      <w:pPr>
        <w:spacing w:line="360" w:lineRule="auto"/>
        <w:rPr>
          <w:rFonts w:ascii="宋体" w:hAnsi="宋体" w:eastAsia="宋体"/>
          <w:sz w:val="24"/>
        </w:rPr>
      </w:pPr>
      <w:r>
        <w:rPr>
          <w:rFonts w:hint="eastAsia" w:ascii="宋体" w:hAnsi="宋体" w:eastAsia="宋体"/>
          <w:sz w:val="24"/>
        </w:rPr>
        <w:t>5.</w:t>
      </w:r>
      <w:r>
        <w:rPr>
          <w:rFonts w:ascii="宋体" w:hAnsi="宋体" w:eastAsia="宋体"/>
          <w:sz w:val="24"/>
        </w:rPr>
        <w:t>站房主体采用</w:t>
      </w:r>
      <w:r>
        <w:rPr>
          <w:rFonts w:hint="eastAsia" w:ascii="宋体" w:hAnsi="宋体" w:eastAsia="宋体"/>
          <w:sz w:val="24"/>
        </w:rPr>
        <w:t>一体式机柜</w:t>
      </w:r>
      <w:r>
        <w:rPr>
          <w:rFonts w:ascii="宋体" w:hAnsi="宋体" w:eastAsia="宋体"/>
          <w:sz w:val="24"/>
        </w:rPr>
        <w:t>，建设标准符合GB T 1413-1998</w:t>
      </w:r>
      <w:r>
        <w:rPr>
          <w:rFonts w:hint="eastAsia" w:ascii="宋体" w:hAnsi="宋体" w:eastAsia="宋体"/>
          <w:sz w:val="24"/>
        </w:rPr>
        <w:t>；</w:t>
      </w:r>
      <w:r>
        <w:rPr>
          <w:rFonts w:ascii="宋体" w:hAnsi="宋体" w:eastAsia="宋体"/>
          <w:sz w:val="24"/>
        </w:rPr>
        <w:t>站房具有密闭性能、防水防冲击性能，满足GJB870-90有关要求，箱体整体防护等级达到IP54以上，可抗里氏七级以下地震</w:t>
      </w:r>
      <w:r>
        <w:rPr>
          <w:rFonts w:hint="eastAsia" w:ascii="宋体" w:hAnsi="宋体" w:eastAsia="宋体"/>
          <w:sz w:val="24"/>
        </w:rPr>
        <w:t>。</w:t>
      </w:r>
    </w:p>
    <w:p>
      <w:pPr>
        <w:spacing w:line="360" w:lineRule="auto"/>
        <w:rPr>
          <w:rFonts w:ascii="宋体" w:hAnsi="宋体" w:eastAsia="宋体"/>
          <w:sz w:val="24"/>
        </w:rPr>
      </w:pPr>
      <w:r>
        <w:rPr>
          <w:rFonts w:hint="eastAsia" w:ascii="宋体" w:hAnsi="宋体" w:eastAsia="宋体"/>
          <w:sz w:val="24"/>
        </w:rPr>
        <w:t>6.</w:t>
      </w:r>
      <w:r>
        <w:rPr>
          <w:rFonts w:ascii="宋体" w:hAnsi="宋体" w:eastAsia="宋体"/>
          <w:sz w:val="24"/>
        </w:rPr>
        <w:t>站房前端设置可开合的透气百叶窗，站房侧面设置通风换气窗</w:t>
      </w:r>
      <w:r>
        <w:rPr>
          <w:rFonts w:hint="eastAsia" w:ascii="宋体" w:hAnsi="宋体" w:eastAsia="宋体"/>
          <w:sz w:val="24"/>
        </w:rPr>
        <w:t>，</w:t>
      </w:r>
      <w:r>
        <w:rPr>
          <w:rFonts w:ascii="宋体" w:hAnsi="宋体" w:eastAsia="宋体"/>
          <w:sz w:val="24"/>
        </w:rPr>
        <w:t>选用优质前门</w:t>
      </w:r>
      <w:r>
        <w:rPr>
          <w:rFonts w:hint="eastAsia" w:ascii="宋体" w:hAnsi="宋体" w:eastAsia="宋体"/>
          <w:sz w:val="24"/>
        </w:rPr>
        <w:t>。</w:t>
      </w:r>
    </w:p>
    <w:p>
      <w:pPr>
        <w:spacing w:line="360" w:lineRule="auto"/>
        <w:rPr>
          <w:rFonts w:ascii="宋体" w:hAnsi="宋体" w:eastAsia="宋体"/>
          <w:sz w:val="24"/>
        </w:rPr>
      </w:pPr>
      <w:r>
        <w:rPr>
          <w:rFonts w:hint="eastAsia" w:ascii="宋体" w:hAnsi="宋体" w:eastAsia="宋体"/>
          <w:sz w:val="24"/>
        </w:rPr>
        <w:t>7.</w:t>
      </w:r>
      <w:r>
        <w:rPr>
          <w:rFonts w:ascii="宋体" w:hAnsi="宋体" w:eastAsia="宋体"/>
          <w:sz w:val="24"/>
        </w:rPr>
        <w:t>站房内部进行隔热保温处理</w:t>
      </w:r>
      <w:r>
        <w:rPr>
          <w:rFonts w:hint="eastAsia" w:ascii="宋体" w:hAnsi="宋体" w:eastAsia="宋体"/>
          <w:sz w:val="24"/>
        </w:rPr>
        <w:t>。</w:t>
      </w:r>
    </w:p>
    <w:p>
      <w:pPr>
        <w:spacing w:line="360" w:lineRule="auto"/>
        <w:rPr>
          <w:rFonts w:ascii="宋体" w:hAnsi="宋体" w:eastAsia="宋体"/>
          <w:sz w:val="24"/>
        </w:rPr>
      </w:pPr>
      <w:r>
        <w:rPr>
          <w:rFonts w:hint="eastAsia" w:ascii="宋体" w:hAnsi="宋体" w:eastAsia="宋体"/>
          <w:sz w:val="24"/>
        </w:rPr>
        <w:t>8.</w:t>
      </w:r>
      <w:r>
        <w:rPr>
          <w:rFonts w:ascii="宋体" w:hAnsi="宋体" w:eastAsia="宋体"/>
          <w:sz w:val="24"/>
        </w:rPr>
        <w:t>站房具有耐腐蚀性能</w:t>
      </w:r>
      <w:r>
        <w:rPr>
          <w:rFonts w:hint="eastAsia" w:ascii="宋体" w:hAnsi="宋体" w:eastAsia="宋体"/>
          <w:sz w:val="24"/>
        </w:rPr>
        <w:t>。</w:t>
      </w:r>
    </w:p>
    <w:p>
      <w:pPr>
        <w:spacing w:line="360" w:lineRule="auto"/>
        <w:rPr>
          <w:rFonts w:ascii="宋体" w:hAnsi="宋体" w:eastAsia="宋体"/>
          <w:sz w:val="24"/>
        </w:rPr>
      </w:pPr>
      <w:r>
        <w:rPr>
          <w:rFonts w:hint="eastAsia" w:ascii="宋体" w:hAnsi="宋体" w:eastAsia="宋体"/>
          <w:sz w:val="24"/>
        </w:rPr>
        <w:t>9.</w:t>
      </w:r>
      <w:r>
        <w:rPr>
          <w:rFonts w:ascii="宋体" w:hAnsi="宋体" w:eastAsia="宋体"/>
          <w:sz w:val="24"/>
        </w:rPr>
        <w:t>站房内预留给排水口，方便监测水样和自来水的供给及排放</w:t>
      </w:r>
      <w:r>
        <w:rPr>
          <w:rFonts w:hint="eastAsia" w:ascii="宋体" w:hAnsi="宋体" w:eastAsia="宋体"/>
          <w:sz w:val="24"/>
        </w:rPr>
        <w:t>。</w:t>
      </w:r>
    </w:p>
    <w:p>
      <w:pPr>
        <w:spacing w:line="360" w:lineRule="auto"/>
        <w:rPr>
          <w:rFonts w:ascii="宋体" w:hAnsi="宋体" w:eastAsia="宋体"/>
          <w:sz w:val="24"/>
        </w:rPr>
      </w:pPr>
      <w:r>
        <w:rPr>
          <w:rFonts w:hint="eastAsia" w:ascii="宋体" w:hAnsi="宋体" w:eastAsia="宋体"/>
          <w:sz w:val="24"/>
        </w:rPr>
        <w:t>10.</w:t>
      </w:r>
      <w:r>
        <w:rPr>
          <w:rFonts w:ascii="宋体" w:hAnsi="宋体" w:eastAsia="宋体"/>
          <w:sz w:val="24"/>
        </w:rPr>
        <w:t>快捷移动：可叉车移动，根据现场需要方便地移动到监测点进行监测</w:t>
      </w:r>
      <w:r>
        <w:rPr>
          <w:rFonts w:hint="eastAsia" w:ascii="宋体" w:hAnsi="宋体" w:eastAsia="宋体"/>
          <w:sz w:val="24"/>
        </w:rPr>
        <w:t>。</w:t>
      </w:r>
    </w:p>
    <w:p>
      <w:pPr>
        <w:spacing w:line="360" w:lineRule="auto"/>
        <w:outlineLvl w:val="3"/>
        <w:rPr>
          <w:rFonts w:ascii="宋体" w:hAnsi="宋体" w:eastAsia="宋体"/>
          <w:b/>
          <w:sz w:val="28"/>
          <w:szCs w:val="28"/>
        </w:rPr>
      </w:pPr>
      <w:r>
        <w:rPr>
          <w:rFonts w:hint="eastAsia" w:ascii="宋体" w:hAnsi="宋体" w:eastAsia="宋体"/>
          <w:b/>
          <w:sz w:val="28"/>
          <w:szCs w:val="28"/>
        </w:rPr>
        <w:t>（二）</w:t>
      </w:r>
      <w:r>
        <w:rPr>
          <w:rFonts w:ascii="宋体" w:hAnsi="宋体" w:eastAsia="宋体"/>
          <w:b/>
          <w:sz w:val="28"/>
          <w:szCs w:val="28"/>
        </w:rPr>
        <w:t>辅助设备及系统安全保障设施</w:t>
      </w:r>
    </w:p>
    <w:p>
      <w:pPr>
        <w:spacing w:line="360" w:lineRule="auto"/>
        <w:jc w:val="left"/>
        <w:rPr>
          <w:rFonts w:ascii="宋体" w:hAnsi="宋体" w:eastAsia="宋体"/>
          <w:sz w:val="24"/>
        </w:rPr>
      </w:pPr>
      <w:r>
        <w:rPr>
          <w:rFonts w:hint="eastAsia" w:ascii="宋体" w:hAnsi="宋体" w:eastAsia="宋体"/>
          <w:sz w:val="24"/>
        </w:rPr>
        <w:t>1.</w:t>
      </w:r>
      <w:r>
        <w:rPr>
          <w:rFonts w:ascii="宋体" w:hAnsi="宋体" w:eastAsia="宋体"/>
          <w:sz w:val="24"/>
        </w:rPr>
        <w:t>系统配备</w:t>
      </w:r>
      <w:r>
        <w:rPr>
          <w:rFonts w:hint="eastAsia" w:ascii="宋体" w:hAnsi="宋体" w:eastAsia="宋体"/>
          <w:sz w:val="24"/>
        </w:rPr>
        <w:t>不低于1</w:t>
      </w:r>
      <w:r>
        <w:rPr>
          <w:rFonts w:ascii="宋体" w:hAnsi="宋体" w:eastAsia="宋体"/>
          <w:sz w:val="24"/>
        </w:rPr>
        <w:t>KVA在线式不间断电源，可以保证测控系统传感器和测控设备以及数据的存贮及传输，断电后可保持系统运行2小时以上</w:t>
      </w:r>
      <w:r>
        <w:rPr>
          <w:rFonts w:hint="eastAsia" w:ascii="宋体" w:hAnsi="宋体" w:eastAsia="宋体"/>
          <w:sz w:val="24"/>
        </w:rPr>
        <w:t>。</w:t>
      </w:r>
    </w:p>
    <w:p>
      <w:pPr>
        <w:spacing w:line="360" w:lineRule="auto"/>
        <w:jc w:val="left"/>
        <w:rPr>
          <w:rFonts w:ascii="宋体" w:hAnsi="宋体" w:eastAsia="宋体"/>
          <w:sz w:val="24"/>
        </w:rPr>
      </w:pPr>
      <w:r>
        <w:rPr>
          <w:rFonts w:hint="eastAsia" w:ascii="宋体" w:hAnsi="宋体" w:eastAsia="宋体"/>
          <w:sz w:val="24"/>
        </w:rPr>
        <w:t>2.</w:t>
      </w:r>
      <w:r>
        <w:rPr>
          <w:rFonts w:ascii="宋体" w:hAnsi="宋体" w:eastAsia="宋体"/>
          <w:sz w:val="24"/>
        </w:rPr>
        <w:t>控制系统中安装防雷装置，能保证系统和仪表免遭雷击</w:t>
      </w:r>
      <w:r>
        <w:rPr>
          <w:rFonts w:hint="eastAsia" w:ascii="宋体" w:hAnsi="宋体" w:eastAsia="宋体"/>
          <w:sz w:val="24"/>
        </w:rPr>
        <w:t>；站房系统防雷系统应符合现行国家标准《建筑防雷设计规范》（</w:t>
      </w:r>
      <w:r>
        <w:rPr>
          <w:rFonts w:ascii="宋体" w:hAnsi="宋体" w:eastAsia="宋体"/>
          <w:sz w:val="24"/>
        </w:rPr>
        <w:t>GB50057</w:t>
      </w:r>
      <w:r>
        <w:rPr>
          <w:rFonts w:hint="eastAsia" w:ascii="宋体" w:hAnsi="宋体" w:eastAsia="宋体"/>
          <w:sz w:val="24"/>
        </w:rPr>
        <w:t>）的规定，并由具有相关资质的单位进行设计、施工以及验收，系统建设完成后提供有资质的单位的系统和仪表整体的防雷检测报告。</w:t>
      </w:r>
    </w:p>
    <w:p>
      <w:pPr>
        <w:spacing w:line="360" w:lineRule="auto"/>
        <w:rPr>
          <w:rFonts w:ascii="宋体" w:hAnsi="宋体" w:eastAsia="宋体"/>
          <w:sz w:val="24"/>
        </w:rPr>
      </w:pPr>
      <w:r>
        <w:rPr>
          <w:rFonts w:hint="eastAsia" w:ascii="宋体" w:hAnsi="宋体" w:eastAsia="宋体"/>
          <w:sz w:val="24"/>
        </w:rPr>
        <w:t>3.</w:t>
      </w:r>
      <w:r>
        <w:rPr>
          <w:rFonts w:ascii="宋体" w:hAnsi="宋体" w:eastAsia="宋体"/>
          <w:sz w:val="24"/>
        </w:rPr>
        <w:t>配备消防设施，灭火器</w:t>
      </w:r>
      <w:r>
        <w:rPr>
          <w:rFonts w:hint="eastAsia" w:ascii="宋体" w:hAnsi="宋体" w:eastAsia="宋体"/>
          <w:sz w:val="24"/>
        </w:rPr>
        <w:t>。</w:t>
      </w:r>
    </w:p>
    <w:p>
      <w:pPr>
        <w:spacing w:line="360" w:lineRule="auto"/>
        <w:rPr>
          <w:rFonts w:ascii="宋体" w:hAnsi="宋体" w:eastAsia="宋体"/>
          <w:b/>
          <w:sz w:val="24"/>
        </w:rPr>
      </w:pPr>
      <w:r>
        <w:rPr>
          <w:rFonts w:hint="eastAsia" w:ascii="宋体" w:hAnsi="宋体" w:eastAsia="宋体"/>
          <w:sz w:val="24"/>
        </w:rPr>
        <w:t>4.</w:t>
      </w:r>
      <w:r>
        <w:rPr>
          <w:rFonts w:ascii="宋体" w:hAnsi="宋体" w:eastAsia="宋体"/>
          <w:sz w:val="24"/>
        </w:rPr>
        <w:t>站房外安装一个摄像头，</w:t>
      </w:r>
      <w:r>
        <w:rPr>
          <w:rFonts w:hint="eastAsia" w:ascii="宋体" w:hAnsi="宋体" w:eastAsia="宋体"/>
          <w:sz w:val="24"/>
        </w:rPr>
        <w:t>球机带云台，可水平</w:t>
      </w:r>
      <w:r>
        <w:rPr>
          <w:rFonts w:ascii="宋体" w:hAnsi="宋体" w:eastAsia="宋体"/>
          <w:sz w:val="24"/>
        </w:rPr>
        <w:t>360</w:t>
      </w:r>
      <w:r>
        <w:rPr>
          <w:rFonts w:hint="eastAsia" w:ascii="宋体" w:hAnsi="宋体" w:eastAsia="宋体"/>
          <w:sz w:val="24"/>
        </w:rPr>
        <w:t>度旋转，竖直</w:t>
      </w:r>
      <w:r>
        <w:rPr>
          <w:rFonts w:ascii="宋体" w:hAnsi="宋体" w:eastAsia="宋体"/>
          <w:sz w:val="24"/>
        </w:rPr>
        <w:t>-5</w:t>
      </w:r>
      <w:r>
        <w:rPr>
          <w:rFonts w:hint="eastAsia" w:ascii="宋体" w:hAnsi="宋体" w:eastAsia="宋体"/>
          <w:sz w:val="24"/>
        </w:rPr>
        <w:t>～</w:t>
      </w:r>
      <w:r>
        <w:rPr>
          <w:rFonts w:ascii="宋体" w:hAnsi="宋体" w:eastAsia="宋体"/>
          <w:sz w:val="24"/>
        </w:rPr>
        <w:t>185</w:t>
      </w:r>
      <w:r>
        <w:rPr>
          <w:rFonts w:hint="eastAsia" w:ascii="宋体" w:hAnsi="宋体" w:eastAsia="宋体"/>
          <w:sz w:val="24"/>
        </w:rPr>
        <w:t>度旋转，带红外，支持夜间查看。</w:t>
      </w:r>
      <w:r>
        <w:rPr>
          <w:rFonts w:ascii="宋体" w:hAnsi="宋体" w:eastAsia="宋体"/>
          <w:sz w:val="24"/>
        </w:rPr>
        <w:t>远程观察取水设备（如取样水泵、浮台等）工作状况，或观察周边的水位、流量等水情情况和周边的环境</w:t>
      </w:r>
      <w:r>
        <w:rPr>
          <w:rFonts w:hint="eastAsia" w:ascii="宋体" w:hAnsi="宋体" w:eastAsia="宋体"/>
          <w:sz w:val="24"/>
        </w:rPr>
        <w:t>。</w:t>
      </w:r>
    </w:p>
    <w:p>
      <w:pPr>
        <w:spacing w:line="360" w:lineRule="auto"/>
        <w:rPr>
          <w:rFonts w:ascii="宋体" w:hAnsi="宋体" w:eastAsia="宋体"/>
          <w:b/>
          <w:sz w:val="24"/>
        </w:rPr>
      </w:pPr>
      <w:r>
        <w:rPr>
          <w:rFonts w:hint="eastAsia" w:ascii="宋体" w:hAnsi="宋体" w:eastAsia="宋体"/>
          <w:sz w:val="24"/>
        </w:rPr>
        <w:t>5.</w:t>
      </w:r>
      <w:r>
        <w:rPr>
          <w:rFonts w:ascii="宋体" w:hAnsi="宋体" w:eastAsia="宋体"/>
          <w:sz w:val="24"/>
        </w:rPr>
        <w:t>安防系统</w:t>
      </w:r>
    </w:p>
    <w:p>
      <w:pPr>
        <w:spacing w:line="360" w:lineRule="auto"/>
        <w:ind w:firstLine="480" w:firstLineChars="200"/>
        <w:rPr>
          <w:rFonts w:ascii="宋体" w:hAnsi="宋体" w:eastAsia="宋体"/>
          <w:sz w:val="24"/>
        </w:rPr>
      </w:pPr>
      <w:r>
        <w:rPr>
          <w:rFonts w:ascii="宋体" w:hAnsi="宋体" w:eastAsia="宋体"/>
          <w:sz w:val="24"/>
        </w:rPr>
        <w:t>前后门位置各配置一个门控开关，可监测到前后门的打开情况；配备</w:t>
      </w:r>
      <w:r>
        <w:rPr>
          <w:rFonts w:hint="eastAsia" w:ascii="宋体" w:hAnsi="宋体" w:eastAsia="宋体"/>
          <w:sz w:val="24"/>
        </w:rPr>
        <w:t>专业</w:t>
      </w:r>
      <w:r>
        <w:rPr>
          <w:rFonts w:ascii="宋体" w:hAnsi="宋体" w:eastAsia="宋体"/>
          <w:sz w:val="24"/>
        </w:rPr>
        <w:t>空调，保证柜内温度</w:t>
      </w:r>
      <w:r>
        <w:rPr>
          <w:rFonts w:hint="eastAsia" w:ascii="宋体" w:hAnsi="宋体" w:eastAsia="宋体"/>
          <w:sz w:val="24"/>
        </w:rPr>
        <w:t>18℃</w:t>
      </w:r>
      <w:r>
        <w:rPr>
          <w:rFonts w:ascii="宋体" w:hAnsi="宋体" w:eastAsia="宋体"/>
          <w:sz w:val="24"/>
        </w:rPr>
        <w:t>-</w:t>
      </w:r>
      <w:r>
        <w:rPr>
          <w:rFonts w:hint="eastAsia" w:ascii="宋体" w:hAnsi="宋体" w:eastAsia="宋体"/>
          <w:sz w:val="24"/>
        </w:rPr>
        <w:t>28℃</w:t>
      </w:r>
      <w:r>
        <w:rPr>
          <w:rFonts w:ascii="宋体" w:hAnsi="宋体" w:eastAsia="宋体"/>
          <w:sz w:val="24"/>
        </w:rPr>
        <w:t>，提供温度恒温自动控制功能，</w:t>
      </w:r>
      <w:r>
        <w:rPr>
          <w:rFonts w:hint="eastAsia" w:ascii="宋体" w:hAnsi="宋体" w:eastAsia="宋体"/>
          <w:sz w:val="24"/>
        </w:rPr>
        <w:t>湿度在60%以内，</w:t>
      </w:r>
      <w:r>
        <w:rPr>
          <w:rFonts w:ascii="宋体" w:hAnsi="宋体" w:eastAsia="宋体"/>
          <w:sz w:val="24"/>
        </w:rPr>
        <w:t>保障系统稳定安全的工作；配置烟感和温感探测器，出现异常情况时，可发生声光自动报警和火警信息上传；配备水浸传感探头，当发生水淹时，可发生声光自动报警和及时切断电源。</w:t>
      </w:r>
    </w:p>
    <w:p>
      <w:pPr>
        <w:spacing w:line="360" w:lineRule="auto"/>
        <w:outlineLvl w:val="2"/>
        <w:rPr>
          <w:rFonts w:ascii="宋体" w:hAnsi="宋体" w:eastAsia="宋体"/>
          <w:b/>
          <w:sz w:val="30"/>
          <w:szCs w:val="30"/>
        </w:rPr>
      </w:pPr>
      <w:r>
        <w:rPr>
          <w:rFonts w:hint="eastAsia" w:ascii="宋体" w:hAnsi="宋体" w:eastAsia="宋体"/>
          <w:b/>
          <w:sz w:val="30"/>
          <w:szCs w:val="30"/>
        </w:rPr>
        <w:t>四、</w:t>
      </w:r>
      <w:r>
        <w:rPr>
          <w:rFonts w:ascii="宋体" w:hAnsi="宋体" w:eastAsia="宋体"/>
          <w:b/>
          <w:sz w:val="30"/>
          <w:szCs w:val="30"/>
        </w:rPr>
        <w:t>仪器设备</w:t>
      </w:r>
      <w:r>
        <w:rPr>
          <w:rFonts w:hint="eastAsia" w:ascii="宋体" w:hAnsi="宋体" w:eastAsia="宋体"/>
          <w:b/>
          <w:sz w:val="30"/>
          <w:szCs w:val="30"/>
        </w:rPr>
        <w:t>及系统</w:t>
      </w:r>
      <w:r>
        <w:rPr>
          <w:rFonts w:ascii="宋体" w:hAnsi="宋体" w:eastAsia="宋体"/>
          <w:b/>
          <w:sz w:val="30"/>
          <w:szCs w:val="30"/>
        </w:rPr>
        <w:t>技术要求和指标</w:t>
      </w:r>
    </w:p>
    <w:p>
      <w:pPr>
        <w:widowControl/>
        <w:spacing w:line="360" w:lineRule="auto"/>
        <w:ind w:firstLine="480" w:firstLineChars="200"/>
        <w:rPr>
          <w:rFonts w:ascii="宋体" w:hAnsi="宋体" w:eastAsia="宋体"/>
          <w:sz w:val="24"/>
        </w:rPr>
      </w:pPr>
      <w:r>
        <w:rPr>
          <w:rFonts w:ascii="宋体" w:hAnsi="宋体" w:eastAsia="宋体"/>
          <w:sz w:val="24"/>
        </w:rPr>
        <w:t>水质自动监测系统设备</w:t>
      </w:r>
      <w:r>
        <w:rPr>
          <w:rFonts w:hint="eastAsia" w:ascii="宋体" w:hAnsi="宋体" w:eastAsia="宋体"/>
          <w:sz w:val="24"/>
        </w:rPr>
        <w:t>主要</w:t>
      </w:r>
      <w:r>
        <w:rPr>
          <w:rFonts w:ascii="宋体" w:hAnsi="宋体" w:eastAsia="宋体"/>
          <w:sz w:val="24"/>
        </w:rPr>
        <w:t>包括</w:t>
      </w:r>
      <w:r>
        <w:rPr>
          <w:rFonts w:hint="eastAsia" w:ascii="宋体" w:hAnsi="宋体" w:eastAsia="宋体"/>
          <w:sz w:val="24"/>
        </w:rPr>
        <w:t>：化学需氧量、氨氮、溶解氧、电导率、浊度、PH、水温。</w:t>
      </w:r>
    </w:p>
    <w:p>
      <w:pPr>
        <w:spacing w:line="360" w:lineRule="auto"/>
        <w:outlineLvl w:val="3"/>
        <w:rPr>
          <w:rFonts w:ascii="宋体" w:hAnsi="宋体" w:eastAsia="宋体"/>
          <w:b/>
          <w:sz w:val="28"/>
          <w:szCs w:val="28"/>
        </w:rPr>
      </w:pPr>
      <w:r>
        <w:rPr>
          <w:rFonts w:ascii="宋体" w:hAnsi="宋体" w:eastAsia="宋体"/>
          <w:b/>
          <w:sz w:val="28"/>
          <w:szCs w:val="28"/>
        </w:rPr>
        <w:t>（一）、技术设计依据</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w:t>
      </w:r>
      <w:r>
        <w:rPr>
          <w:rFonts w:ascii="宋体" w:hAnsi="宋体" w:eastAsia="宋体"/>
          <w:kern w:val="0"/>
          <w:sz w:val="24"/>
        </w:rPr>
        <w:t>《水和废水监测分析方法》（第四版）</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2.</w:t>
      </w:r>
      <w:r>
        <w:rPr>
          <w:rFonts w:ascii="宋体" w:hAnsi="宋体" w:eastAsia="宋体"/>
          <w:kern w:val="0"/>
          <w:sz w:val="24"/>
        </w:rPr>
        <w:t>《环境水质监测质量保证手册》（第二版）</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3.</w:t>
      </w:r>
      <w:r>
        <w:rPr>
          <w:rFonts w:ascii="宋体" w:hAnsi="宋体" w:eastAsia="宋体"/>
          <w:kern w:val="0"/>
          <w:sz w:val="24"/>
        </w:rPr>
        <w:t>《地表水环境质量标准》（GB3838-2002）</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4.</w:t>
      </w:r>
      <w:r>
        <w:rPr>
          <w:rFonts w:ascii="宋体" w:hAnsi="宋体" w:eastAsia="宋体"/>
          <w:kern w:val="0"/>
          <w:sz w:val="24"/>
        </w:rPr>
        <w:t>《中华人民共和国环境保护行业标准》（HJ/T98-2003）</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5.</w:t>
      </w:r>
      <w:r>
        <w:rPr>
          <w:rFonts w:ascii="宋体" w:hAnsi="宋体" w:eastAsia="宋体"/>
          <w:kern w:val="0"/>
          <w:sz w:val="24"/>
        </w:rPr>
        <w:t>《地表水和污水监测技术规范》（HJ/T 91-2002）</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6.</w:t>
      </w:r>
      <w:r>
        <w:rPr>
          <w:rFonts w:ascii="宋体" w:hAnsi="宋体" w:eastAsia="宋体"/>
          <w:kern w:val="0"/>
          <w:sz w:val="24"/>
        </w:rPr>
        <w:t>《水质 河流采样技术指导》（HJ/T 52-1999）</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7.</w:t>
      </w:r>
      <w:r>
        <w:rPr>
          <w:rFonts w:ascii="宋体" w:hAnsi="宋体" w:eastAsia="宋体"/>
          <w:kern w:val="0"/>
          <w:sz w:val="24"/>
        </w:rPr>
        <w:t>《地表水自动监测技术规范》</w:t>
      </w:r>
      <w:r>
        <w:rPr>
          <w:rFonts w:hint="eastAsia" w:ascii="宋体" w:hAnsi="宋体" w:eastAsia="宋体"/>
          <w:sz w:val="24"/>
        </w:rPr>
        <w:t>（</w:t>
      </w:r>
      <w:r>
        <w:rPr>
          <w:rFonts w:ascii="宋体" w:hAnsi="宋体" w:eastAsia="宋体"/>
          <w:kern w:val="0"/>
          <w:sz w:val="24"/>
        </w:rPr>
        <w:t>HJ 915-2017</w:t>
      </w:r>
      <w:r>
        <w:rPr>
          <w:rFonts w:hint="eastAsia" w:ascii="宋体" w:hAnsi="宋体" w:eastAsia="宋体"/>
          <w:sz w:val="24"/>
        </w:rPr>
        <w:t>）</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8.</w:t>
      </w:r>
      <w:r>
        <w:rPr>
          <w:rFonts w:ascii="宋体" w:hAnsi="宋体" w:eastAsia="宋体"/>
          <w:kern w:val="0"/>
          <w:sz w:val="24"/>
        </w:rPr>
        <w:t>《山东省小清河流域水污染物综合排放标准》（DB37656-2006）</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9.</w:t>
      </w:r>
      <w:r>
        <w:rPr>
          <w:rFonts w:ascii="宋体" w:hAnsi="宋体" w:eastAsia="宋体"/>
          <w:kern w:val="0"/>
          <w:sz w:val="24"/>
        </w:rPr>
        <w:t>《氨氮水质自动分析仪技术要求》（HJ/T101-2003）</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10.</w:t>
      </w:r>
      <w:r>
        <w:rPr>
          <w:rFonts w:ascii="宋体" w:hAnsi="宋体" w:eastAsia="宋体"/>
          <w:sz w:val="24"/>
        </w:rPr>
        <w:t>《化学需氧量水质自动分析仪技术要求》（HJ/T100-2003）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1</w:t>
      </w:r>
      <w:r>
        <w:rPr>
          <w:rFonts w:ascii="宋体" w:hAnsi="宋体" w:eastAsia="宋体"/>
          <w:kern w:val="0"/>
          <w:sz w:val="24"/>
        </w:rPr>
        <w:t>.《PH水质自动分析仪技术要求》（HJ/T96-2003）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2.</w:t>
      </w:r>
      <w:r>
        <w:rPr>
          <w:rFonts w:ascii="宋体" w:hAnsi="宋体" w:eastAsia="宋体"/>
          <w:kern w:val="0"/>
          <w:sz w:val="24"/>
        </w:rPr>
        <w:t>《溶解氧（DO）水质自动分析仪技术要求》（HJ/T99-2003）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3.</w:t>
      </w:r>
      <w:r>
        <w:rPr>
          <w:rFonts w:ascii="宋体" w:hAnsi="宋体" w:eastAsia="宋体"/>
          <w:kern w:val="0"/>
          <w:sz w:val="24"/>
        </w:rPr>
        <w:t>《电导率水质自动分析仪技术要求》（HJ/T97-2003）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4.</w:t>
      </w:r>
      <w:r>
        <w:rPr>
          <w:rFonts w:ascii="宋体" w:hAnsi="宋体" w:eastAsia="宋体"/>
          <w:kern w:val="0"/>
          <w:sz w:val="24"/>
        </w:rPr>
        <w:t>《浊度水质自动分析仪技术要求》（HJ/T98-2003）</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15.</w:t>
      </w:r>
      <w:r>
        <w:rPr>
          <w:rFonts w:ascii="宋体" w:hAnsi="宋体" w:eastAsia="宋体"/>
          <w:kern w:val="0"/>
          <w:sz w:val="24"/>
        </w:rPr>
        <w:t>《建筑防雷设计规范》</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16.</w:t>
      </w:r>
      <w:r>
        <w:rPr>
          <w:rFonts w:ascii="宋体" w:hAnsi="宋体" w:eastAsia="宋体"/>
          <w:kern w:val="0"/>
          <w:sz w:val="24"/>
        </w:rPr>
        <w:t>《供配电系统设计规范》</w:t>
      </w:r>
    </w:p>
    <w:p>
      <w:pPr>
        <w:tabs>
          <w:tab w:val="left" w:pos="1435"/>
        </w:tabs>
        <w:autoSpaceDE w:val="0"/>
        <w:autoSpaceDN w:val="0"/>
        <w:spacing w:line="360" w:lineRule="auto"/>
        <w:jc w:val="left"/>
        <w:rPr>
          <w:rFonts w:ascii="宋体" w:hAnsi="宋体" w:eastAsia="宋体"/>
          <w:sz w:val="24"/>
        </w:rPr>
      </w:pPr>
      <w:r>
        <w:rPr>
          <w:rFonts w:hint="eastAsia" w:ascii="宋体" w:hAnsi="宋体" w:eastAsia="宋体"/>
          <w:sz w:val="24"/>
        </w:rPr>
        <w:t>17.国家《地表水水质自动监测站运行维护技术规范》（试行）</w:t>
      </w:r>
    </w:p>
    <w:p>
      <w:pPr>
        <w:tabs>
          <w:tab w:val="left" w:pos="1435"/>
        </w:tabs>
        <w:autoSpaceDE w:val="0"/>
        <w:autoSpaceDN w:val="0"/>
        <w:spacing w:line="360" w:lineRule="auto"/>
        <w:jc w:val="left"/>
        <w:rPr>
          <w:rFonts w:ascii="宋体" w:hAnsi="宋体" w:eastAsia="宋体"/>
          <w:sz w:val="24"/>
        </w:rPr>
      </w:pPr>
      <w:r>
        <w:rPr>
          <w:rFonts w:hint="eastAsia" w:ascii="宋体" w:hAnsi="宋体" w:eastAsia="宋体"/>
          <w:sz w:val="24"/>
        </w:rPr>
        <w:t>18.国家《地表水水质自动监测站安装验收技术规范》（试行）</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sz w:val="24"/>
        </w:rPr>
        <w:t>19.《国家地表水环境质量自动监测站运行管理办法》（2017年4月）</w:t>
      </w:r>
    </w:p>
    <w:p>
      <w:pPr>
        <w:spacing w:line="360" w:lineRule="auto"/>
        <w:outlineLvl w:val="3"/>
        <w:rPr>
          <w:rFonts w:ascii="宋体" w:hAnsi="宋体" w:eastAsia="宋体"/>
          <w:b/>
          <w:sz w:val="28"/>
          <w:szCs w:val="28"/>
        </w:rPr>
      </w:pPr>
      <w:r>
        <w:rPr>
          <w:rFonts w:ascii="宋体" w:hAnsi="宋体" w:eastAsia="宋体"/>
          <w:b/>
          <w:sz w:val="28"/>
          <w:szCs w:val="28"/>
        </w:rPr>
        <w:t>（二）、系统基本技术要求</w:t>
      </w:r>
    </w:p>
    <w:p>
      <w:pPr>
        <w:spacing w:line="360" w:lineRule="auto"/>
        <w:outlineLvl w:val="4"/>
        <w:rPr>
          <w:rFonts w:ascii="宋体" w:hAnsi="宋体" w:eastAsia="宋体"/>
          <w:b/>
          <w:sz w:val="24"/>
        </w:rPr>
      </w:pPr>
      <w:r>
        <w:rPr>
          <w:rFonts w:ascii="宋体" w:hAnsi="宋体" w:eastAsia="宋体"/>
          <w:b/>
          <w:sz w:val="24"/>
        </w:rPr>
        <w:t>1、系统整体要求</w:t>
      </w:r>
    </w:p>
    <w:p>
      <w:pPr>
        <w:autoSpaceDE w:val="0"/>
        <w:autoSpaceDN w:val="0"/>
        <w:spacing w:line="360" w:lineRule="auto"/>
        <w:ind w:firstLine="480" w:firstLineChars="200"/>
        <w:jc w:val="left"/>
        <w:rPr>
          <w:rFonts w:ascii="宋体" w:hAnsi="宋体" w:eastAsia="宋体"/>
          <w:kern w:val="0"/>
          <w:sz w:val="24"/>
        </w:rPr>
      </w:pPr>
      <w:r>
        <w:rPr>
          <w:rFonts w:ascii="宋体" w:hAnsi="宋体" w:eastAsia="宋体"/>
          <w:kern w:val="0"/>
          <w:sz w:val="24"/>
        </w:rPr>
        <w:t>对所采水样进行相应的预处理，将水样中的某些杂质过滤而又不能改变水样的代表性；方法成熟、性能稳定、经济合理、运行费用低、维护工作量小；不符合环保要求的排放废液应作相应的处理并使用正确处理方法处理；仪器设备及系统抗电磁干扰、避雷装置及电力供应稳定的配套系统设计；系统工艺流程简捷，组成精简，力求使系统设备的投资尽量合理；管线布置通畅合理，管材选择确保系统能长期有效运行；自动化程度高，做到自动采样、自动预处理、自动分析和自动清洗以及数据记录和输出等环节的可靠有效；水质自动监测装置布局合理，整齐美观，应尽量缩短现场安装调试的工作量；管道及所有与被测介质接触的部件，必须允许清洗介质通过而不产生损坏。</w:t>
      </w:r>
    </w:p>
    <w:p>
      <w:pPr>
        <w:spacing w:line="360" w:lineRule="auto"/>
        <w:outlineLvl w:val="4"/>
        <w:rPr>
          <w:rFonts w:ascii="宋体" w:hAnsi="宋体" w:eastAsia="宋体"/>
          <w:b/>
          <w:sz w:val="24"/>
        </w:rPr>
      </w:pPr>
      <w:r>
        <w:rPr>
          <w:rFonts w:ascii="宋体" w:hAnsi="宋体" w:eastAsia="宋体"/>
          <w:b/>
          <w:sz w:val="24"/>
        </w:rPr>
        <w:t>2、系统完整性</w:t>
      </w:r>
    </w:p>
    <w:p>
      <w:pPr>
        <w:autoSpaceDE w:val="0"/>
        <w:autoSpaceDN w:val="0"/>
        <w:spacing w:line="360" w:lineRule="auto"/>
        <w:ind w:firstLine="480" w:firstLineChars="200"/>
        <w:jc w:val="left"/>
        <w:rPr>
          <w:rFonts w:ascii="宋体" w:hAnsi="宋体" w:eastAsia="宋体"/>
          <w:kern w:val="0"/>
          <w:sz w:val="24"/>
        </w:rPr>
      </w:pPr>
      <w:r>
        <w:rPr>
          <w:rFonts w:ascii="宋体" w:hAnsi="宋体" w:eastAsia="宋体"/>
          <w:kern w:val="0"/>
          <w:sz w:val="24"/>
        </w:rPr>
        <w:t>完整的系统应包括取配水单元、预处理单元、清洗除藻单元、空气单元、数据采集控制单元、仪表分析单元、运行环境支持单元</w:t>
      </w:r>
      <w:r>
        <w:rPr>
          <w:rFonts w:hint="eastAsia" w:ascii="宋体" w:hAnsi="宋体" w:eastAsia="宋体"/>
          <w:kern w:val="0"/>
          <w:sz w:val="24"/>
        </w:rPr>
        <w:t>等</w:t>
      </w:r>
      <w:r>
        <w:rPr>
          <w:rFonts w:ascii="宋体" w:hAnsi="宋体" w:eastAsia="宋体"/>
          <w:kern w:val="0"/>
          <w:sz w:val="24"/>
        </w:rPr>
        <w:t>部分。</w:t>
      </w:r>
    </w:p>
    <w:p>
      <w:pPr>
        <w:spacing w:line="360" w:lineRule="auto"/>
        <w:outlineLvl w:val="4"/>
        <w:rPr>
          <w:rFonts w:ascii="宋体" w:hAnsi="宋体" w:eastAsia="宋体"/>
          <w:b/>
          <w:sz w:val="24"/>
        </w:rPr>
      </w:pPr>
      <w:r>
        <w:rPr>
          <w:rFonts w:ascii="宋体" w:hAnsi="宋体" w:eastAsia="宋体"/>
          <w:b/>
          <w:sz w:val="24"/>
        </w:rPr>
        <w:t>3、系统可靠性</w:t>
      </w:r>
    </w:p>
    <w:p>
      <w:pPr>
        <w:autoSpaceDE w:val="0"/>
        <w:autoSpaceDN w:val="0"/>
        <w:spacing w:line="360" w:lineRule="auto"/>
        <w:ind w:firstLine="480" w:firstLineChars="200"/>
        <w:jc w:val="left"/>
        <w:rPr>
          <w:rFonts w:ascii="宋体" w:hAnsi="宋体" w:eastAsia="宋体"/>
          <w:kern w:val="0"/>
          <w:sz w:val="24"/>
        </w:rPr>
      </w:pPr>
      <w:r>
        <w:rPr>
          <w:rFonts w:ascii="宋体" w:hAnsi="宋体" w:eastAsia="宋体"/>
          <w:kern w:val="0"/>
          <w:sz w:val="24"/>
        </w:rPr>
        <w:t>系统尽量采用工业级仪器、设备，可靠的保护措施，确保无人值守时稳定正常地工作，每年无故障运行时间不得小于720小时。</w:t>
      </w:r>
    </w:p>
    <w:p>
      <w:pPr>
        <w:spacing w:line="360" w:lineRule="auto"/>
        <w:outlineLvl w:val="4"/>
        <w:rPr>
          <w:rFonts w:ascii="宋体" w:hAnsi="宋体" w:eastAsia="宋体"/>
          <w:b/>
          <w:sz w:val="24"/>
        </w:rPr>
      </w:pPr>
      <w:r>
        <w:rPr>
          <w:rFonts w:ascii="宋体" w:hAnsi="宋体" w:eastAsia="宋体"/>
          <w:b/>
          <w:sz w:val="24"/>
        </w:rPr>
        <w:t>4、系统测量精度和准确度</w:t>
      </w:r>
    </w:p>
    <w:p>
      <w:pPr>
        <w:autoSpaceDE w:val="0"/>
        <w:autoSpaceDN w:val="0"/>
        <w:spacing w:line="360" w:lineRule="auto"/>
        <w:ind w:firstLine="480" w:firstLineChars="200"/>
        <w:jc w:val="left"/>
        <w:rPr>
          <w:rFonts w:ascii="宋体" w:hAnsi="宋体" w:eastAsia="宋体"/>
          <w:kern w:val="0"/>
          <w:sz w:val="24"/>
        </w:rPr>
      </w:pPr>
      <w:r>
        <w:rPr>
          <w:rFonts w:ascii="宋体" w:hAnsi="宋体" w:eastAsia="宋体"/>
          <w:kern w:val="0"/>
          <w:sz w:val="24"/>
        </w:rPr>
        <w:t>自动监测系统经安装、调试、正常试运行后，采用国家标准样品对仪器设备进行测试应准确可靠，精度满足要求，自动监测系统监测的水质数据与实验室同步监测数据在允许误差范围内。</w:t>
      </w:r>
    </w:p>
    <w:p>
      <w:pPr>
        <w:spacing w:line="360" w:lineRule="auto"/>
        <w:outlineLvl w:val="3"/>
        <w:rPr>
          <w:rFonts w:ascii="宋体" w:hAnsi="宋体" w:eastAsia="宋体"/>
          <w:b/>
          <w:sz w:val="28"/>
          <w:szCs w:val="28"/>
        </w:rPr>
      </w:pPr>
      <w:r>
        <w:rPr>
          <w:rFonts w:ascii="宋体" w:hAnsi="宋体" w:eastAsia="宋体"/>
          <w:b/>
          <w:sz w:val="28"/>
          <w:szCs w:val="28"/>
        </w:rPr>
        <w:t>（三）、仪表分析单元</w:t>
      </w:r>
    </w:p>
    <w:p>
      <w:pPr>
        <w:spacing w:line="360" w:lineRule="auto"/>
        <w:outlineLvl w:val="4"/>
        <w:rPr>
          <w:rFonts w:ascii="宋体" w:hAnsi="宋体" w:eastAsia="宋体"/>
          <w:b/>
          <w:sz w:val="24"/>
        </w:rPr>
      </w:pPr>
      <w:r>
        <w:rPr>
          <w:rFonts w:ascii="宋体" w:hAnsi="宋体" w:eastAsia="宋体"/>
          <w:b/>
          <w:sz w:val="24"/>
        </w:rPr>
        <w:t>1、分析方法要求</w:t>
      </w:r>
    </w:p>
    <w:p>
      <w:pPr>
        <w:pStyle w:val="67"/>
        <w:adjustRightInd/>
        <w:spacing w:line="360" w:lineRule="auto"/>
        <w:ind w:firstLine="480" w:firstLineChars="200"/>
        <w:rPr>
          <w:rFonts w:ascii="宋体" w:hAnsi="宋体"/>
          <w:color w:val="auto"/>
          <w:sz w:val="24"/>
          <w:szCs w:val="24"/>
        </w:rPr>
      </w:pPr>
      <w:r>
        <w:rPr>
          <w:rFonts w:ascii="宋体" w:hAnsi="宋体"/>
          <w:color w:val="auto"/>
          <w:sz w:val="24"/>
          <w:szCs w:val="24"/>
        </w:rPr>
        <w:t>自动监测仪器的测量原理必须符合中国国家标准分析方法、中国环保行业分析方法或等同的或相近的其他国家的标准分析方法。水质自动监测站监测仪器应使用如下方法</w:t>
      </w:r>
      <w:r>
        <w:rPr>
          <w:rFonts w:hint="eastAsia" w:ascii="宋体" w:hAnsi="宋体"/>
          <w:color w:val="auto"/>
          <w:sz w:val="24"/>
          <w:szCs w:val="24"/>
        </w:rPr>
        <w:t>（</w:t>
      </w:r>
      <w:r>
        <w:rPr>
          <w:rFonts w:ascii="宋体" w:hAnsi="宋体"/>
          <w:color w:val="auto"/>
          <w:sz w:val="24"/>
          <w:szCs w:val="24"/>
        </w:rPr>
        <w:t>表</w:t>
      </w:r>
      <w:r>
        <w:rPr>
          <w:rFonts w:hint="eastAsia" w:ascii="宋体" w:hAnsi="宋体"/>
          <w:color w:val="auto"/>
          <w:sz w:val="24"/>
          <w:szCs w:val="24"/>
        </w:rPr>
        <w:t>2）</w:t>
      </w:r>
      <w:r>
        <w:rPr>
          <w:rFonts w:ascii="宋体" w:hAnsi="宋体"/>
          <w:color w:val="auto"/>
          <w:sz w:val="24"/>
          <w:szCs w:val="24"/>
        </w:rPr>
        <w:t>。</w:t>
      </w:r>
    </w:p>
    <w:p>
      <w:pPr>
        <w:spacing w:line="360" w:lineRule="auto"/>
        <w:jc w:val="center"/>
        <w:rPr>
          <w:rFonts w:ascii="宋体" w:hAnsi="宋体" w:eastAsia="宋体"/>
          <w:b/>
          <w:kern w:val="0"/>
          <w:sz w:val="24"/>
        </w:rPr>
      </w:pPr>
      <w:r>
        <w:rPr>
          <w:rFonts w:ascii="宋体" w:hAnsi="宋体" w:eastAsia="宋体"/>
          <w:b/>
          <w:kern w:val="0"/>
          <w:sz w:val="24"/>
        </w:rPr>
        <w:t>表</w:t>
      </w:r>
      <w:r>
        <w:rPr>
          <w:rFonts w:hint="eastAsia" w:ascii="宋体" w:hAnsi="宋体" w:eastAsia="宋体"/>
          <w:b/>
          <w:kern w:val="0"/>
          <w:sz w:val="24"/>
        </w:rPr>
        <w:t>1</w:t>
      </w:r>
      <w:r>
        <w:rPr>
          <w:rFonts w:ascii="宋体" w:hAnsi="宋体" w:eastAsia="宋体"/>
          <w:b/>
          <w:kern w:val="0"/>
          <w:sz w:val="24"/>
        </w:rPr>
        <w:t>自动监测仪器分析方法</w:t>
      </w:r>
    </w:p>
    <w:tbl>
      <w:tblPr>
        <w:tblStyle w:val="25"/>
        <w:tblW w:w="7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 w:val="24"/>
                <w:szCs w:val="24"/>
              </w:rPr>
            </w:pPr>
            <w:r>
              <w:rPr>
                <w:rFonts w:ascii="宋体" w:hAnsi="宋体" w:eastAsia="宋体"/>
                <w:kern w:val="0"/>
                <w:sz w:val="24"/>
                <w:szCs w:val="24"/>
              </w:rPr>
              <w:t>序号</w:t>
            </w:r>
          </w:p>
        </w:tc>
        <w:tc>
          <w:tcPr>
            <w:tcW w:w="2410" w:type="dxa"/>
            <w:vAlign w:val="center"/>
          </w:tcPr>
          <w:p>
            <w:pPr>
              <w:jc w:val="center"/>
              <w:rPr>
                <w:rFonts w:ascii="宋体" w:hAnsi="宋体" w:eastAsia="宋体"/>
                <w:kern w:val="0"/>
                <w:sz w:val="24"/>
                <w:szCs w:val="24"/>
              </w:rPr>
            </w:pPr>
            <w:r>
              <w:rPr>
                <w:rFonts w:ascii="宋体" w:hAnsi="宋体" w:eastAsia="宋体"/>
                <w:kern w:val="0"/>
                <w:sz w:val="24"/>
                <w:szCs w:val="24"/>
              </w:rPr>
              <w:t>项目</w:t>
            </w:r>
          </w:p>
        </w:tc>
        <w:tc>
          <w:tcPr>
            <w:tcW w:w="4643" w:type="dxa"/>
            <w:vAlign w:val="center"/>
          </w:tcPr>
          <w:p>
            <w:pPr>
              <w:jc w:val="center"/>
              <w:rPr>
                <w:rFonts w:ascii="宋体" w:hAnsi="宋体" w:eastAsia="宋体"/>
                <w:kern w:val="0"/>
                <w:sz w:val="24"/>
                <w:szCs w:val="24"/>
              </w:rPr>
            </w:pPr>
            <w:r>
              <w:rPr>
                <w:rFonts w:ascii="宋体" w:hAnsi="宋体" w:eastAsia="宋体"/>
                <w:kern w:val="0"/>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 w:val="24"/>
                <w:szCs w:val="24"/>
              </w:rPr>
            </w:pPr>
            <w:r>
              <w:rPr>
                <w:rFonts w:hint="eastAsia" w:ascii="宋体" w:hAnsi="宋体" w:eastAsia="宋体"/>
                <w:kern w:val="0"/>
                <w:sz w:val="24"/>
                <w:szCs w:val="24"/>
              </w:rPr>
              <w:t>1</w:t>
            </w:r>
          </w:p>
        </w:tc>
        <w:tc>
          <w:tcPr>
            <w:tcW w:w="2410" w:type="dxa"/>
            <w:vAlign w:val="center"/>
          </w:tcPr>
          <w:p>
            <w:pPr>
              <w:jc w:val="center"/>
              <w:rPr>
                <w:rFonts w:ascii="宋体" w:hAnsi="宋体" w:eastAsia="宋体"/>
                <w:kern w:val="0"/>
                <w:sz w:val="24"/>
                <w:szCs w:val="24"/>
              </w:rPr>
            </w:pPr>
            <w:r>
              <w:rPr>
                <w:rFonts w:hint="eastAsia" w:ascii="宋体" w:hAnsi="宋体" w:eastAsia="宋体"/>
                <w:kern w:val="0"/>
                <w:sz w:val="24"/>
                <w:szCs w:val="24"/>
              </w:rPr>
              <w:t>化学需氧量</w:t>
            </w:r>
          </w:p>
        </w:tc>
        <w:tc>
          <w:tcPr>
            <w:tcW w:w="4643" w:type="dxa"/>
            <w:vAlign w:val="center"/>
          </w:tcPr>
          <w:p>
            <w:pPr>
              <w:jc w:val="center"/>
              <w:rPr>
                <w:rFonts w:ascii="宋体" w:hAnsi="宋体" w:eastAsia="宋体"/>
                <w:kern w:val="0"/>
                <w:sz w:val="24"/>
                <w:szCs w:val="24"/>
              </w:rPr>
            </w:pPr>
            <w:r>
              <w:rPr>
                <w:rFonts w:hint="eastAsia" w:ascii="宋体" w:hAnsi="宋体" w:eastAsia="宋体"/>
                <w:kern w:val="0"/>
                <w:sz w:val="24"/>
                <w:szCs w:val="24"/>
              </w:rPr>
              <w:t>重铬酸钾氧化还原法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 w:val="24"/>
                <w:szCs w:val="24"/>
              </w:rPr>
            </w:pPr>
            <w:r>
              <w:rPr>
                <w:rFonts w:hint="eastAsia" w:ascii="宋体" w:hAnsi="宋体" w:eastAsia="宋体"/>
                <w:kern w:val="0"/>
                <w:sz w:val="24"/>
                <w:szCs w:val="24"/>
              </w:rPr>
              <w:t>2</w:t>
            </w:r>
          </w:p>
        </w:tc>
        <w:tc>
          <w:tcPr>
            <w:tcW w:w="2410" w:type="dxa"/>
            <w:vAlign w:val="center"/>
          </w:tcPr>
          <w:p>
            <w:pPr>
              <w:jc w:val="center"/>
              <w:rPr>
                <w:rFonts w:ascii="宋体" w:hAnsi="宋体" w:eastAsia="宋体"/>
                <w:kern w:val="0"/>
                <w:sz w:val="24"/>
                <w:szCs w:val="24"/>
              </w:rPr>
            </w:pPr>
            <w:r>
              <w:rPr>
                <w:rFonts w:ascii="宋体" w:hAnsi="宋体" w:eastAsia="宋体"/>
                <w:kern w:val="0"/>
                <w:sz w:val="24"/>
                <w:szCs w:val="24"/>
              </w:rPr>
              <w:t>氨氮</w:t>
            </w:r>
          </w:p>
        </w:tc>
        <w:tc>
          <w:tcPr>
            <w:tcW w:w="4643" w:type="dxa"/>
            <w:vAlign w:val="center"/>
          </w:tcPr>
          <w:p>
            <w:pPr>
              <w:jc w:val="center"/>
              <w:rPr>
                <w:rFonts w:ascii="宋体" w:hAnsi="宋体" w:eastAsia="宋体"/>
                <w:kern w:val="0"/>
                <w:sz w:val="24"/>
                <w:szCs w:val="24"/>
              </w:rPr>
            </w:pPr>
            <w:r>
              <w:rPr>
                <w:rFonts w:ascii="宋体" w:hAnsi="宋体" w:eastAsia="宋体"/>
                <w:kern w:val="0"/>
                <w:sz w:val="24"/>
                <w:szCs w:val="24"/>
              </w:rPr>
              <w:t>纳氏试剂</w:t>
            </w:r>
            <w:r>
              <w:rPr>
                <w:rFonts w:hint="eastAsia" w:ascii="宋体" w:hAnsi="宋体" w:eastAsia="宋体"/>
                <w:kern w:val="0"/>
                <w:sz w:val="24"/>
                <w:szCs w:val="24"/>
              </w:rPr>
              <w:t>分光</w:t>
            </w:r>
            <w:r>
              <w:rPr>
                <w:rFonts w:ascii="宋体" w:hAnsi="宋体" w:eastAsia="宋体"/>
                <w:kern w:val="0"/>
                <w:sz w:val="24"/>
                <w:szCs w:val="24"/>
              </w:rPr>
              <w:t>光度法</w:t>
            </w:r>
            <w:r>
              <w:rPr>
                <w:rFonts w:hint="eastAsia" w:ascii="宋体" w:hAnsi="宋体" w:eastAsia="宋体"/>
                <w:kern w:val="0"/>
                <w:sz w:val="24"/>
                <w:szCs w:val="24"/>
              </w:rPr>
              <w:t>/</w:t>
            </w:r>
            <w:r>
              <w:rPr>
                <w:rFonts w:ascii="宋体" w:hAnsi="宋体" w:eastAsia="宋体"/>
                <w:kern w:val="0"/>
                <w:sz w:val="24"/>
                <w:szCs w:val="24"/>
              </w:rPr>
              <w:t>水杨酸</w:t>
            </w:r>
            <w:r>
              <w:rPr>
                <w:rFonts w:hint="eastAsia" w:ascii="宋体" w:hAnsi="宋体" w:eastAsia="宋体"/>
                <w:kern w:val="0"/>
                <w:sz w:val="24"/>
                <w:szCs w:val="24"/>
              </w:rPr>
              <w:t>分光</w:t>
            </w:r>
            <w:r>
              <w:rPr>
                <w:rFonts w:ascii="宋体" w:hAnsi="宋体" w:eastAsia="宋体"/>
                <w:kern w:val="0"/>
                <w:sz w:val="24"/>
                <w:szCs w:val="24"/>
              </w:rPr>
              <w:t>光度法</w:t>
            </w:r>
            <w:r>
              <w:rPr>
                <w:rFonts w:hint="eastAsia" w:ascii="宋体" w:hAnsi="宋体" w:eastAsia="宋体"/>
                <w:kern w:val="0"/>
                <w:sz w:val="24"/>
                <w:szCs w:val="24"/>
              </w:rPr>
              <w:t>/</w:t>
            </w:r>
            <w:r>
              <w:rPr>
                <w:rFonts w:ascii="宋体" w:hAnsi="宋体" w:eastAsia="宋体"/>
                <w:kern w:val="0"/>
                <w:sz w:val="24"/>
                <w:szCs w:val="24"/>
              </w:rPr>
              <w:t>氨气敏电极法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 w:val="24"/>
                <w:szCs w:val="24"/>
              </w:rPr>
            </w:pPr>
            <w:r>
              <w:rPr>
                <w:rFonts w:hint="eastAsia" w:ascii="宋体" w:hAnsi="宋体" w:eastAsia="宋体"/>
                <w:kern w:val="0"/>
                <w:sz w:val="24"/>
                <w:szCs w:val="24"/>
              </w:rPr>
              <w:t>3</w:t>
            </w:r>
          </w:p>
        </w:tc>
        <w:tc>
          <w:tcPr>
            <w:tcW w:w="2410" w:type="dxa"/>
            <w:vAlign w:val="center"/>
          </w:tcPr>
          <w:p>
            <w:pPr>
              <w:jc w:val="center"/>
              <w:rPr>
                <w:rFonts w:ascii="宋体" w:hAnsi="宋体" w:eastAsia="宋体"/>
                <w:kern w:val="0"/>
                <w:sz w:val="24"/>
                <w:szCs w:val="24"/>
              </w:rPr>
            </w:pPr>
            <w:r>
              <w:rPr>
                <w:rFonts w:ascii="宋体" w:hAnsi="宋体" w:eastAsia="宋体"/>
                <w:kern w:val="0"/>
                <w:sz w:val="24"/>
                <w:szCs w:val="24"/>
              </w:rPr>
              <w:t>溶解氧</w:t>
            </w:r>
          </w:p>
        </w:tc>
        <w:tc>
          <w:tcPr>
            <w:tcW w:w="4643" w:type="dxa"/>
            <w:vAlign w:val="center"/>
          </w:tcPr>
          <w:p>
            <w:pPr>
              <w:jc w:val="center"/>
              <w:rPr>
                <w:rFonts w:ascii="宋体" w:hAnsi="宋体" w:eastAsia="宋体"/>
                <w:kern w:val="0"/>
                <w:sz w:val="24"/>
                <w:szCs w:val="24"/>
              </w:rPr>
            </w:pPr>
            <w:r>
              <w:rPr>
                <w:rFonts w:ascii="宋体" w:hAnsi="宋体" w:eastAsia="宋体"/>
                <w:kern w:val="0"/>
                <w:sz w:val="24"/>
                <w:szCs w:val="24"/>
              </w:rPr>
              <w:t>电化学法</w:t>
            </w:r>
            <w:r>
              <w:rPr>
                <w:rFonts w:hint="eastAsia" w:ascii="宋体" w:hAnsi="宋体" w:eastAsia="宋体"/>
                <w:kern w:val="0"/>
                <w:sz w:val="24"/>
                <w:szCs w:val="24"/>
              </w:rPr>
              <w:t>/</w:t>
            </w:r>
            <w:r>
              <w:rPr>
                <w:rFonts w:ascii="宋体" w:hAnsi="宋体" w:eastAsia="宋体"/>
                <w:kern w:val="0"/>
                <w:sz w:val="24"/>
                <w:szCs w:val="24"/>
              </w:rPr>
              <w:t>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 w:val="24"/>
                <w:szCs w:val="24"/>
              </w:rPr>
            </w:pPr>
            <w:r>
              <w:rPr>
                <w:rFonts w:hint="eastAsia" w:ascii="宋体" w:hAnsi="宋体" w:eastAsia="宋体"/>
                <w:kern w:val="0"/>
                <w:sz w:val="24"/>
                <w:szCs w:val="24"/>
              </w:rPr>
              <w:t>4</w:t>
            </w:r>
          </w:p>
        </w:tc>
        <w:tc>
          <w:tcPr>
            <w:tcW w:w="2410" w:type="dxa"/>
            <w:vAlign w:val="center"/>
          </w:tcPr>
          <w:p>
            <w:pPr>
              <w:jc w:val="center"/>
              <w:rPr>
                <w:rFonts w:ascii="宋体" w:hAnsi="宋体" w:eastAsia="宋体"/>
                <w:kern w:val="0"/>
                <w:sz w:val="24"/>
                <w:szCs w:val="24"/>
              </w:rPr>
            </w:pPr>
            <w:r>
              <w:rPr>
                <w:rFonts w:ascii="宋体" w:hAnsi="宋体" w:eastAsia="宋体"/>
                <w:kern w:val="0"/>
                <w:sz w:val="24"/>
                <w:szCs w:val="24"/>
              </w:rPr>
              <w:t>电导率</w:t>
            </w:r>
          </w:p>
        </w:tc>
        <w:tc>
          <w:tcPr>
            <w:tcW w:w="4643" w:type="dxa"/>
            <w:vAlign w:val="center"/>
          </w:tcPr>
          <w:p>
            <w:pPr>
              <w:jc w:val="center"/>
              <w:rPr>
                <w:rFonts w:ascii="宋体" w:hAnsi="宋体" w:eastAsia="宋体"/>
                <w:kern w:val="0"/>
                <w:sz w:val="24"/>
                <w:szCs w:val="24"/>
              </w:rPr>
            </w:pPr>
            <w:r>
              <w:rPr>
                <w:rFonts w:ascii="宋体" w:hAnsi="宋体" w:eastAsia="宋体"/>
                <w:kern w:val="0"/>
                <w:sz w:val="24"/>
                <w:szCs w:val="24"/>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 w:val="24"/>
                <w:szCs w:val="24"/>
              </w:rPr>
            </w:pPr>
            <w:r>
              <w:rPr>
                <w:rFonts w:hint="eastAsia" w:ascii="宋体" w:hAnsi="宋体" w:eastAsia="宋体"/>
                <w:kern w:val="0"/>
                <w:sz w:val="24"/>
                <w:szCs w:val="24"/>
              </w:rPr>
              <w:t>5</w:t>
            </w:r>
          </w:p>
        </w:tc>
        <w:tc>
          <w:tcPr>
            <w:tcW w:w="2410" w:type="dxa"/>
            <w:vAlign w:val="center"/>
          </w:tcPr>
          <w:p>
            <w:pPr>
              <w:jc w:val="center"/>
              <w:rPr>
                <w:rFonts w:ascii="宋体" w:hAnsi="宋体" w:eastAsia="宋体"/>
                <w:kern w:val="0"/>
                <w:sz w:val="24"/>
                <w:szCs w:val="24"/>
              </w:rPr>
            </w:pPr>
            <w:r>
              <w:rPr>
                <w:rFonts w:hint="eastAsia" w:ascii="宋体" w:hAnsi="宋体" w:eastAsia="宋体"/>
                <w:kern w:val="0"/>
                <w:sz w:val="24"/>
                <w:szCs w:val="24"/>
              </w:rPr>
              <w:t>浊度</w:t>
            </w:r>
          </w:p>
        </w:tc>
        <w:tc>
          <w:tcPr>
            <w:tcW w:w="4643" w:type="dxa"/>
            <w:vAlign w:val="center"/>
          </w:tcPr>
          <w:p>
            <w:pPr>
              <w:jc w:val="center"/>
              <w:rPr>
                <w:rFonts w:ascii="宋体" w:hAnsi="宋体" w:eastAsia="宋体"/>
                <w:kern w:val="0"/>
                <w:sz w:val="24"/>
                <w:szCs w:val="24"/>
              </w:rPr>
            </w:pPr>
            <w:r>
              <w:rPr>
                <w:rFonts w:hint="eastAsia" w:ascii="宋体" w:hAnsi="宋体" w:eastAsia="宋体"/>
                <w:kern w:val="0"/>
                <w:sz w:val="24"/>
                <w:szCs w:val="24"/>
              </w:rPr>
              <w:t>光散射法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 w:val="24"/>
                <w:szCs w:val="24"/>
              </w:rPr>
            </w:pPr>
            <w:r>
              <w:rPr>
                <w:rFonts w:hint="eastAsia" w:ascii="宋体" w:hAnsi="宋体" w:eastAsia="宋体"/>
                <w:kern w:val="0"/>
                <w:sz w:val="24"/>
                <w:szCs w:val="24"/>
              </w:rPr>
              <w:t>6</w:t>
            </w:r>
          </w:p>
        </w:tc>
        <w:tc>
          <w:tcPr>
            <w:tcW w:w="2410" w:type="dxa"/>
            <w:vAlign w:val="center"/>
          </w:tcPr>
          <w:p>
            <w:pPr>
              <w:jc w:val="center"/>
              <w:rPr>
                <w:rFonts w:ascii="宋体" w:hAnsi="宋体" w:eastAsia="宋体"/>
                <w:kern w:val="0"/>
                <w:sz w:val="24"/>
                <w:szCs w:val="24"/>
              </w:rPr>
            </w:pPr>
            <w:r>
              <w:rPr>
                <w:rFonts w:ascii="宋体" w:hAnsi="宋体" w:eastAsia="宋体"/>
                <w:kern w:val="0"/>
                <w:sz w:val="24"/>
                <w:szCs w:val="24"/>
              </w:rPr>
              <w:t>水温</w:t>
            </w:r>
          </w:p>
        </w:tc>
        <w:tc>
          <w:tcPr>
            <w:tcW w:w="4643" w:type="dxa"/>
            <w:vAlign w:val="center"/>
          </w:tcPr>
          <w:p>
            <w:pPr>
              <w:jc w:val="center"/>
              <w:rPr>
                <w:rFonts w:ascii="宋体" w:hAnsi="宋体" w:eastAsia="宋体"/>
                <w:kern w:val="0"/>
                <w:sz w:val="24"/>
                <w:szCs w:val="24"/>
              </w:rPr>
            </w:pPr>
            <w:r>
              <w:rPr>
                <w:rFonts w:hint="eastAsia" w:ascii="宋体" w:hAnsi="宋体" w:eastAsia="宋体"/>
                <w:kern w:val="0"/>
                <w:sz w:val="24"/>
                <w:szCs w:val="24"/>
              </w:rPr>
              <w:t>热电阻或热电偶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 w:val="24"/>
                <w:szCs w:val="24"/>
              </w:rPr>
            </w:pPr>
            <w:r>
              <w:rPr>
                <w:rFonts w:hint="eastAsia" w:ascii="宋体" w:hAnsi="宋体" w:eastAsia="宋体"/>
                <w:kern w:val="0"/>
                <w:sz w:val="24"/>
                <w:szCs w:val="24"/>
              </w:rPr>
              <w:t>7</w:t>
            </w:r>
          </w:p>
        </w:tc>
        <w:tc>
          <w:tcPr>
            <w:tcW w:w="2410" w:type="dxa"/>
            <w:vAlign w:val="center"/>
          </w:tcPr>
          <w:p>
            <w:pPr>
              <w:jc w:val="center"/>
              <w:rPr>
                <w:rFonts w:ascii="宋体" w:hAnsi="宋体" w:eastAsia="宋体"/>
                <w:kern w:val="0"/>
                <w:sz w:val="24"/>
                <w:szCs w:val="24"/>
              </w:rPr>
            </w:pPr>
            <w:r>
              <w:rPr>
                <w:rFonts w:ascii="宋体" w:hAnsi="宋体" w:eastAsia="宋体"/>
                <w:kern w:val="0"/>
                <w:sz w:val="24"/>
                <w:szCs w:val="24"/>
              </w:rPr>
              <w:t>pH</w:t>
            </w:r>
          </w:p>
        </w:tc>
        <w:tc>
          <w:tcPr>
            <w:tcW w:w="4643" w:type="dxa"/>
            <w:vAlign w:val="center"/>
          </w:tcPr>
          <w:p>
            <w:pPr>
              <w:jc w:val="center"/>
              <w:rPr>
                <w:rFonts w:ascii="宋体" w:hAnsi="宋体" w:eastAsia="宋体"/>
                <w:kern w:val="0"/>
                <w:sz w:val="24"/>
                <w:szCs w:val="24"/>
              </w:rPr>
            </w:pPr>
            <w:r>
              <w:rPr>
                <w:rFonts w:ascii="宋体" w:hAnsi="宋体" w:eastAsia="宋体"/>
                <w:kern w:val="0"/>
                <w:sz w:val="24"/>
                <w:szCs w:val="24"/>
              </w:rPr>
              <w:t>玻璃电极法</w:t>
            </w:r>
          </w:p>
        </w:tc>
      </w:tr>
    </w:tbl>
    <w:p>
      <w:pPr>
        <w:spacing w:line="360" w:lineRule="auto"/>
        <w:outlineLvl w:val="4"/>
        <w:rPr>
          <w:rFonts w:ascii="宋体" w:hAnsi="宋体" w:eastAsia="宋体"/>
          <w:b/>
          <w:sz w:val="24"/>
        </w:rPr>
      </w:pPr>
      <w:r>
        <w:rPr>
          <w:rFonts w:ascii="宋体" w:hAnsi="宋体" w:eastAsia="宋体"/>
          <w:b/>
          <w:sz w:val="24"/>
        </w:rPr>
        <w:t>2、仪表选型要求</w:t>
      </w:r>
    </w:p>
    <w:p>
      <w:pPr>
        <w:autoSpaceDE w:val="0"/>
        <w:autoSpaceDN w:val="0"/>
        <w:spacing w:line="360" w:lineRule="auto"/>
        <w:ind w:firstLine="480" w:firstLineChars="200"/>
        <w:jc w:val="left"/>
        <w:rPr>
          <w:rFonts w:ascii="宋体" w:hAnsi="宋体" w:eastAsia="宋体"/>
          <w:kern w:val="0"/>
          <w:sz w:val="24"/>
        </w:rPr>
      </w:pPr>
      <w:r>
        <w:rPr>
          <w:rFonts w:ascii="宋体" w:hAnsi="宋体" w:eastAsia="宋体"/>
          <w:kern w:val="0"/>
          <w:sz w:val="24"/>
        </w:rPr>
        <w:t>本项目要求分析仪表均能提供4-20mA、RS232</w:t>
      </w:r>
      <w:r>
        <w:rPr>
          <w:rFonts w:hint="eastAsia" w:ascii="宋体" w:hAnsi="宋体" w:eastAsia="宋体"/>
          <w:kern w:val="0"/>
          <w:sz w:val="24"/>
        </w:rPr>
        <w:t>、RS485、RJ45等标准通信接口；</w:t>
      </w:r>
      <w:r>
        <w:rPr>
          <w:rFonts w:ascii="宋体" w:hAnsi="宋体" w:eastAsia="宋体"/>
          <w:kern w:val="0"/>
          <w:sz w:val="24"/>
        </w:rPr>
        <w:t>能满足双向数据及信号传输功能的要求。同时，分析仪表根据水样的水质状况能采用单量程或双量程配置，能够自动切换量程，既能满足河流遇到事故状态的情况下水质变化较大的要求，同时也可以保证在正常水质状况下数据测量的准确性。</w:t>
      </w:r>
    </w:p>
    <w:p>
      <w:pPr>
        <w:spacing w:line="360" w:lineRule="auto"/>
        <w:outlineLvl w:val="4"/>
        <w:rPr>
          <w:rFonts w:ascii="宋体" w:hAnsi="宋体" w:eastAsia="宋体"/>
          <w:b/>
          <w:sz w:val="24"/>
        </w:rPr>
      </w:pPr>
      <w:r>
        <w:rPr>
          <w:rFonts w:ascii="宋体" w:hAnsi="宋体" w:eastAsia="宋体"/>
          <w:b/>
          <w:sz w:val="24"/>
        </w:rPr>
        <w:t>3、仪表功能</w:t>
      </w:r>
    </w:p>
    <w:p>
      <w:pPr>
        <w:autoSpaceDE w:val="0"/>
        <w:autoSpaceDN w:val="0"/>
        <w:spacing w:line="360" w:lineRule="auto"/>
        <w:jc w:val="left"/>
        <w:rPr>
          <w:rFonts w:ascii="宋体" w:hAnsi="宋体" w:eastAsia="宋体"/>
          <w:kern w:val="0"/>
          <w:sz w:val="24"/>
        </w:rPr>
      </w:pPr>
      <w:r>
        <w:rPr>
          <w:rFonts w:ascii="宋体" w:hAnsi="宋体" w:eastAsia="宋体"/>
          <w:kern w:val="0"/>
          <w:sz w:val="24"/>
        </w:rPr>
        <w:t>（1）分析仪表具有数据存储，断电，断水自动保护与恢复功能，由相关控制软件完成，断电数据能保存30天</w:t>
      </w:r>
      <w:r>
        <w:rPr>
          <w:rFonts w:hint="eastAsia" w:ascii="宋体" w:hAnsi="宋体" w:eastAsia="宋体"/>
          <w:kern w:val="0"/>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（2）具有仪器故障自动报警功能和异常值自动报警功能，由相关控制软件完成判断和报警。当出现浓度检测超量程时，在切换量程的同时，发出报警</w:t>
      </w:r>
      <w:r>
        <w:rPr>
          <w:rFonts w:hint="eastAsia" w:ascii="宋体" w:hAnsi="宋体" w:eastAsia="宋体"/>
          <w:kern w:val="0"/>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（3）自动清洗功能：可根据需要设定清洗频次，由控制软件完成</w:t>
      </w:r>
      <w:r>
        <w:rPr>
          <w:rFonts w:hint="eastAsia" w:ascii="宋体" w:hAnsi="宋体" w:eastAsia="宋体"/>
          <w:kern w:val="0"/>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（4）时间设置功能：可根据需要设定监测频次，由控制软件完成</w:t>
      </w:r>
      <w:r>
        <w:rPr>
          <w:rFonts w:hint="eastAsia" w:ascii="宋体" w:hAnsi="宋体" w:eastAsia="宋体"/>
          <w:kern w:val="0"/>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（5）监测频率可调、分时读取功能：所有分析仪表的输出信号采用4－20MA，RS232</w:t>
      </w:r>
      <w:r>
        <w:rPr>
          <w:rFonts w:hint="eastAsia" w:ascii="宋体" w:hAnsi="宋体" w:eastAsia="宋体"/>
          <w:kern w:val="0"/>
          <w:sz w:val="24"/>
        </w:rPr>
        <w:t>、RS485、RJ45等标准通信接口；</w:t>
      </w:r>
      <w:r>
        <w:rPr>
          <w:rFonts w:ascii="宋体" w:hAnsi="宋体" w:eastAsia="宋体"/>
          <w:kern w:val="0"/>
          <w:sz w:val="24"/>
        </w:rPr>
        <w:t>针对连续测量、测量周期短和测量周期长的不同分析仪的输出特点，采用监测频率可调、分时读取的方式进行</w:t>
      </w:r>
      <w:r>
        <w:rPr>
          <w:rFonts w:hint="eastAsia" w:ascii="宋体" w:hAnsi="宋体" w:eastAsia="宋体"/>
          <w:kern w:val="0"/>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（6）定期自动校准功能：可使用相关控制软件来自由设定自动校正的周期</w:t>
      </w:r>
      <w:r>
        <w:rPr>
          <w:rFonts w:hint="eastAsia" w:ascii="宋体" w:hAnsi="宋体" w:eastAsia="宋体"/>
          <w:kern w:val="0"/>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（7）仪器状态远程显示功能：由相关控制软件完成。</w:t>
      </w:r>
    </w:p>
    <w:p>
      <w:pPr>
        <w:spacing w:line="360" w:lineRule="auto"/>
        <w:outlineLvl w:val="4"/>
        <w:rPr>
          <w:rFonts w:ascii="宋体" w:hAnsi="宋体" w:eastAsia="宋体"/>
          <w:b/>
          <w:sz w:val="24"/>
        </w:rPr>
      </w:pPr>
      <w:r>
        <w:rPr>
          <w:rFonts w:ascii="宋体" w:hAnsi="宋体" w:eastAsia="宋体"/>
          <w:b/>
          <w:sz w:val="24"/>
        </w:rPr>
        <w:t>4、仪表技术指标</w:t>
      </w:r>
    </w:p>
    <w:p>
      <w:pPr>
        <w:spacing w:line="360" w:lineRule="auto"/>
        <w:rPr>
          <w:rFonts w:ascii="宋体" w:hAnsi="宋体" w:eastAsia="宋体"/>
          <w:kern w:val="0"/>
          <w:sz w:val="24"/>
        </w:rPr>
      </w:pPr>
    </w:p>
    <w:p>
      <w:pPr>
        <w:spacing w:line="360" w:lineRule="auto"/>
        <w:rPr>
          <w:rFonts w:ascii="宋体" w:hAnsi="宋体" w:eastAsia="宋体"/>
          <w:kern w:val="0"/>
          <w:sz w:val="24"/>
        </w:rPr>
      </w:pPr>
      <w:r>
        <w:rPr>
          <w:rFonts w:hint="eastAsia" w:ascii="宋体" w:hAnsi="宋体" w:eastAsia="宋体"/>
          <w:kern w:val="0"/>
          <w:sz w:val="24"/>
        </w:rPr>
        <w:t>（1）</w:t>
      </w:r>
      <w:r>
        <w:rPr>
          <w:rFonts w:ascii="宋体" w:hAnsi="宋体" w:eastAsia="宋体"/>
          <w:kern w:val="0"/>
          <w:sz w:val="24"/>
        </w:rPr>
        <w:t>水温</w:t>
      </w:r>
      <w:r>
        <w:rPr>
          <w:rFonts w:hint="eastAsia" w:ascii="宋体" w:hAnsi="宋体" w:eastAsia="宋体"/>
          <w:kern w:val="0"/>
          <w:sz w:val="24"/>
        </w:rPr>
        <w:t>水质自动分析仪</w:t>
      </w:r>
      <w:r>
        <w:rPr>
          <w:rFonts w:ascii="宋体" w:hAnsi="宋体" w:eastAsia="宋体"/>
          <w:kern w:val="0"/>
          <w:sz w:val="24"/>
        </w:rPr>
        <w:t>技术指标要求</w:t>
      </w:r>
    </w:p>
    <w:tbl>
      <w:tblPr>
        <w:tblStyle w:val="25"/>
        <w:tblW w:w="6632" w:type="dxa"/>
        <w:jc w:val="center"/>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1" w:type="dxa"/>
            <w:tcBorders>
              <w:tl2br w:val="nil"/>
              <w:tr2bl w:val="nil"/>
            </w:tcBorders>
            <w:vAlign w:val="center"/>
          </w:tcPr>
          <w:p>
            <w:pPr>
              <w:jc w:val="center"/>
              <w:rPr>
                <w:rFonts w:ascii="宋体" w:hAnsi="宋体" w:eastAsia="宋体"/>
                <w:b/>
                <w:sz w:val="24"/>
                <w:szCs w:val="24"/>
              </w:rPr>
            </w:pPr>
            <w:r>
              <w:rPr>
                <w:rFonts w:ascii="宋体" w:hAnsi="宋体" w:eastAsia="宋体"/>
                <w:b/>
                <w:sz w:val="24"/>
                <w:szCs w:val="24"/>
              </w:rPr>
              <w:t>项目</w:t>
            </w:r>
          </w:p>
        </w:tc>
        <w:tc>
          <w:tcPr>
            <w:tcW w:w="3641" w:type="dxa"/>
            <w:tcBorders>
              <w:tl2br w:val="nil"/>
              <w:tr2bl w:val="nil"/>
            </w:tcBorders>
            <w:vAlign w:val="center"/>
          </w:tcPr>
          <w:p>
            <w:pPr>
              <w:jc w:val="center"/>
              <w:rPr>
                <w:rFonts w:ascii="宋体" w:hAnsi="宋体" w:eastAsia="宋体"/>
                <w:b/>
                <w:sz w:val="24"/>
                <w:szCs w:val="24"/>
              </w:rPr>
            </w:pPr>
            <w:r>
              <w:rPr>
                <w:rFonts w:ascii="宋体" w:hAnsi="宋体" w:eastAsia="宋体"/>
                <w:b/>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1" w:type="dxa"/>
            <w:tcBorders>
              <w:tl2br w:val="nil"/>
              <w:tr2bl w:val="nil"/>
            </w:tcBorders>
            <w:vAlign w:val="center"/>
          </w:tcPr>
          <w:p>
            <w:pPr>
              <w:jc w:val="center"/>
              <w:rPr>
                <w:rFonts w:ascii="宋体" w:hAnsi="宋体" w:eastAsia="宋体"/>
                <w:sz w:val="24"/>
                <w:szCs w:val="24"/>
              </w:rPr>
            </w:pPr>
            <w:r>
              <w:rPr>
                <w:rFonts w:hint="eastAsia" w:ascii="宋体" w:hAnsi="宋体" w:eastAsia="宋体"/>
                <w:sz w:val="24"/>
                <w:szCs w:val="24"/>
              </w:rPr>
              <w:t>测定原理</w:t>
            </w:r>
          </w:p>
        </w:tc>
        <w:tc>
          <w:tcPr>
            <w:tcW w:w="3641" w:type="dxa"/>
            <w:tcBorders>
              <w:tl2br w:val="nil"/>
              <w:tr2bl w:val="nil"/>
            </w:tcBorders>
            <w:vAlign w:val="center"/>
          </w:tcPr>
          <w:p>
            <w:pPr>
              <w:jc w:val="center"/>
              <w:rPr>
                <w:rFonts w:ascii="宋体" w:hAnsi="宋体" w:eastAsia="宋体"/>
                <w:sz w:val="24"/>
                <w:szCs w:val="24"/>
              </w:rPr>
            </w:pPr>
            <w:r>
              <w:rPr>
                <w:rFonts w:hint="eastAsia" w:ascii="宋体" w:hAnsi="宋体" w:eastAsia="宋体"/>
                <w:sz w:val="24"/>
                <w:szCs w:val="24"/>
              </w:rPr>
              <w:t>热电阻或热电偶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1" w:type="dxa"/>
            <w:tcBorders>
              <w:tl2br w:val="nil"/>
              <w:tr2bl w:val="nil"/>
            </w:tcBorders>
            <w:vAlign w:val="center"/>
          </w:tcPr>
          <w:p>
            <w:pPr>
              <w:jc w:val="center"/>
              <w:rPr>
                <w:rFonts w:ascii="宋体" w:hAnsi="宋体" w:eastAsia="宋体"/>
                <w:sz w:val="24"/>
                <w:szCs w:val="24"/>
              </w:rPr>
            </w:pPr>
            <w:r>
              <w:rPr>
                <w:rFonts w:hint="eastAsia" w:ascii="宋体" w:hAnsi="宋体" w:eastAsia="宋体"/>
                <w:sz w:val="24"/>
                <w:szCs w:val="24"/>
              </w:rPr>
              <w:t>量程</w:t>
            </w:r>
          </w:p>
        </w:tc>
        <w:tc>
          <w:tcPr>
            <w:tcW w:w="3641"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 xml:space="preserve">～60 </w:t>
            </w:r>
            <w:r>
              <w:rPr>
                <w:rFonts w:hint="eastAsia" w:ascii="宋体" w:hAnsi="宋体" w:eastAsia="宋体"/>
                <w:sz w:val="24"/>
                <w:szCs w:val="24"/>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1"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准确度</w:t>
            </w:r>
          </w:p>
        </w:tc>
        <w:tc>
          <w:tcPr>
            <w:tcW w:w="3641"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 xml:space="preserve">±0.5 </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1"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MTBF</w:t>
            </w:r>
          </w:p>
        </w:tc>
        <w:tc>
          <w:tcPr>
            <w:tcW w:w="3641"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≥720 h/</w:t>
            </w:r>
            <w:r>
              <w:rPr>
                <w:rFonts w:hint="eastAsia" w:ascii="宋体" w:hAnsi="宋体" w:eastAsia="宋体"/>
                <w:sz w:val="24"/>
                <w:szCs w:val="24"/>
              </w:rPr>
              <w:t>次</w:t>
            </w:r>
          </w:p>
        </w:tc>
      </w:tr>
    </w:tbl>
    <w:p>
      <w:pPr>
        <w:spacing w:line="360" w:lineRule="auto"/>
        <w:rPr>
          <w:rFonts w:ascii="宋体" w:hAnsi="宋体" w:eastAsia="宋体"/>
          <w:kern w:val="0"/>
          <w:sz w:val="24"/>
        </w:rPr>
      </w:pPr>
    </w:p>
    <w:p>
      <w:pPr>
        <w:spacing w:line="360" w:lineRule="auto"/>
        <w:rPr>
          <w:rFonts w:ascii="宋体" w:hAnsi="宋体" w:eastAsia="宋体"/>
          <w:kern w:val="0"/>
          <w:sz w:val="24"/>
        </w:rPr>
      </w:pPr>
      <w:r>
        <w:rPr>
          <w:rFonts w:hint="eastAsia" w:ascii="宋体" w:hAnsi="宋体" w:eastAsia="宋体"/>
          <w:kern w:val="0"/>
          <w:sz w:val="24"/>
        </w:rPr>
        <w:t>（2）</w:t>
      </w:r>
      <w:r>
        <w:rPr>
          <w:rFonts w:ascii="宋体" w:hAnsi="宋体" w:eastAsia="宋体"/>
          <w:kern w:val="0"/>
          <w:sz w:val="24"/>
        </w:rPr>
        <w:t>pH</w:t>
      </w:r>
      <w:r>
        <w:rPr>
          <w:rFonts w:hint="eastAsia" w:ascii="宋体" w:hAnsi="宋体" w:eastAsia="宋体"/>
          <w:kern w:val="0"/>
          <w:sz w:val="24"/>
        </w:rPr>
        <w:t>水质自动分析仪</w:t>
      </w:r>
      <w:r>
        <w:rPr>
          <w:rFonts w:ascii="宋体" w:hAnsi="宋体" w:eastAsia="宋体"/>
          <w:kern w:val="0"/>
          <w:sz w:val="24"/>
        </w:rPr>
        <w:t>技术指标要求</w:t>
      </w:r>
    </w:p>
    <w:tbl>
      <w:tblPr>
        <w:tblStyle w:val="25"/>
        <w:tblW w:w="6555" w:type="dxa"/>
        <w:jc w:val="center"/>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3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blHeader/>
          <w:jc w:val="center"/>
        </w:trPr>
        <w:tc>
          <w:tcPr>
            <w:tcW w:w="2953" w:type="dxa"/>
            <w:tcBorders>
              <w:tl2br w:val="nil"/>
              <w:tr2bl w:val="nil"/>
            </w:tcBorders>
            <w:vAlign w:val="center"/>
          </w:tcPr>
          <w:p>
            <w:pPr>
              <w:jc w:val="center"/>
              <w:rPr>
                <w:rFonts w:ascii="宋体" w:hAnsi="宋体" w:eastAsia="宋体"/>
                <w:b/>
                <w:sz w:val="24"/>
                <w:szCs w:val="24"/>
              </w:rPr>
            </w:pPr>
            <w:r>
              <w:rPr>
                <w:rFonts w:ascii="宋体" w:hAnsi="宋体" w:eastAsia="宋体"/>
                <w:b/>
                <w:sz w:val="24"/>
                <w:szCs w:val="24"/>
              </w:rPr>
              <w:t>项目</w:t>
            </w:r>
          </w:p>
        </w:tc>
        <w:tc>
          <w:tcPr>
            <w:tcW w:w="3602" w:type="dxa"/>
            <w:tcBorders>
              <w:tl2br w:val="nil"/>
              <w:tr2bl w:val="nil"/>
            </w:tcBorders>
            <w:vAlign w:val="center"/>
          </w:tcPr>
          <w:p>
            <w:pPr>
              <w:jc w:val="center"/>
              <w:rPr>
                <w:rFonts w:ascii="宋体" w:hAnsi="宋体" w:eastAsia="宋体"/>
                <w:b/>
                <w:sz w:val="24"/>
                <w:szCs w:val="24"/>
              </w:rPr>
            </w:pPr>
            <w:r>
              <w:rPr>
                <w:rFonts w:ascii="宋体" w:hAnsi="宋体" w:eastAsia="宋体"/>
                <w:b/>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53" w:type="dxa"/>
            <w:tcBorders>
              <w:tl2br w:val="nil"/>
              <w:tr2bl w:val="nil"/>
            </w:tcBorders>
            <w:vAlign w:val="center"/>
          </w:tcPr>
          <w:p>
            <w:pPr>
              <w:jc w:val="center"/>
              <w:rPr>
                <w:rFonts w:ascii="宋体" w:hAnsi="宋体" w:eastAsia="宋体"/>
                <w:sz w:val="24"/>
                <w:szCs w:val="24"/>
              </w:rPr>
            </w:pPr>
            <w:r>
              <w:rPr>
                <w:rFonts w:hint="eastAsia" w:ascii="宋体" w:hAnsi="宋体" w:eastAsia="宋体"/>
                <w:sz w:val="24"/>
                <w:szCs w:val="24"/>
              </w:rPr>
              <w:t>测定原理</w:t>
            </w:r>
          </w:p>
        </w:tc>
        <w:tc>
          <w:tcPr>
            <w:tcW w:w="3602"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953" w:type="dxa"/>
            <w:tcBorders>
              <w:tl2br w:val="nil"/>
              <w:tr2bl w:val="nil"/>
            </w:tcBorders>
            <w:vAlign w:val="center"/>
          </w:tcPr>
          <w:p>
            <w:pPr>
              <w:jc w:val="center"/>
              <w:rPr>
                <w:rFonts w:ascii="宋体" w:hAnsi="宋体" w:eastAsia="宋体"/>
                <w:sz w:val="24"/>
                <w:szCs w:val="24"/>
              </w:rPr>
            </w:pPr>
            <w:r>
              <w:rPr>
                <w:rFonts w:hint="eastAsia" w:ascii="宋体" w:hAnsi="宋体" w:eastAsia="宋体"/>
                <w:sz w:val="24"/>
                <w:szCs w:val="24"/>
              </w:rPr>
              <w:t>量程</w:t>
            </w:r>
          </w:p>
        </w:tc>
        <w:tc>
          <w:tcPr>
            <w:tcW w:w="3602"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 xml:space="preserve">pH 0～14 （0～40 </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2953"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漂移（pH=4、7、9）</w:t>
            </w:r>
          </w:p>
        </w:tc>
        <w:tc>
          <w:tcPr>
            <w:tcW w:w="3602"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953"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重复性</w:t>
            </w:r>
          </w:p>
        </w:tc>
        <w:tc>
          <w:tcPr>
            <w:tcW w:w="3602"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953"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响应时间</w:t>
            </w:r>
          </w:p>
        </w:tc>
        <w:tc>
          <w:tcPr>
            <w:tcW w:w="3602"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953"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温度补偿精度</w:t>
            </w:r>
          </w:p>
        </w:tc>
        <w:tc>
          <w:tcPr>
            <w:tcW w:w="3602"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53"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MTBF</w:t>
            </w:r>
          </w:p>
        </w:tc>
        <w:tc>
          <w:tcPr>
            <w:tcW w:w="3602"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53"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实际水样比对试验</w:t>
            </w:r>
          </w:p>
        </w:tc>
        <w:tc>
          <w:tcPr>
            <w:tcW w:w="3602"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±0.</w:t>
            </w:r>
            <w:r>
              <w:rPr>
                <w:rFonts w:hint="eastAsia" w:ascii="宋体" w:hAnsi="宋体" w:eastAsia="宋体"/>
                <w:sz w:val="24"/>
                <w:szCs w:val="24"/>
              </w:rPr>
              <w:t>5</w:t>
            </w:r>
            <w:r>
              <w:rPr>
                <w:rFonts w:ascii="宋体" w:hAnsi="宋体" w:eastAsia="宋体"/>
                <w:sz w:val="24"/>
                <w:szCs w:val="24"/>
              </w:rPr>
              <w:t xml:space="preserve">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53"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防护等级</w:t>
            </w:r>
          </w:p>
        </w:tc>
        <w:tc>
          <w:tcPr>
            <w:tcW w:w="3602" w:type="dxa"/>
            <w:tcBorders>
              <w:tl2br w:val="nil"/>
              <w:tr2bl w:val="nil"/>
            </w:tcBorders>
            <w:vAlign w:val="center"/>
          </w:tcPr>
          <w:p>
            <w:pPr>
              <w:jc w:val="center"/>
              <w:rPr>
                <w:rFonts w:ascii="宋体" w:hAnsi="宋体" w:eastAsia="宋体"/>
                <w:sz w:val="24"/>
                <w:szCs w:val="24"/>
              </w:rPr>
            </w:pPr>
            <w:r>
              <w:rPr>
                <w:rFonts w:ascii="宋体" w:hAnsi="宋体" w:eastAsia="宋体"/>
                <w:sz w:val="24"/>
                <w:szCs w:val="24"/>
              </w:rPr>
              <w:t>≥IP65</w:t>
            </w:r>
          </w:p>
        </w:tc>
      </w:tr>
    </w:tbl>
    <w:p>
      <w:pPr>
        <w:spacing w:line="360" w:lineRule="auto"/>
        <w:rPr>
          <w:rFonts w:ascii="宋体" w:hAnsi="宋体" w:eastAsia="宋体"/>
          <w:sz w:val="24"/>
          <w:szCs w:val="24"/>
        </w:rPr>
      </w:pPr>
    </w:p>
    <w:p>
      <w:pPr>
        <w:spacing w:line="360" w:lineRule="auto"/>
        <w:rPr>
          <w:rFonts w:ascii="宋体" w:hAnsi="宋体" w:eastAsia="宋体"/>
          <w:sz w:val="24"/>
        </w:rPr>
      </w:pPr>
    </w:p>
    <w:p>
      <w:pPr>
        <w:spacing w:line="360" w:lineRule="auto"/>
        <w:rPr>
          <w:rFonts w:ascii="宋体" w:hAnsi="宋体" w:eastAsia="宋体"/>
          <w:sz w:val="24"/>
        </w:rPr>
      </w:pPr>
      <w:r>
        <w:rPr>
          <w:rFonts w:ascii="宋体" w:hAnsi="宋体" w:eastAsia="宋体"/>
          <w:sz w:val="24"/>
        </w:rPr>
        <w:t>（3）溶解氧自动分析仪技术指标要求</w:t>
      </w:r>
    </w:p>
    <w:tbl>
      <w:tblPr>
        <w:tblStyle w:val="25"/>
        <w:tblW w:w="6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1"/>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2751" w:type="dxa"/>
            <w:vAlign w:val="center"/>
          </w:tcPr>
          <w:p>
            <w:pPr>
              <w:jc w:val="center"/>
              <w:rPr>
                <w:rFonts w:ascii="宋体" w:hAnsi="宋体" w:eastAsia="宋体"/>
                <w:b/>
                <w:sz w:val="24"/>
                <w:szCs w:val="24"/>
              </w:rPr>
            </w:pPr>
            <w:r>
              <w:rPr>
                <w:rFonts w:ascii="宋体" w:hAnsi="宋体" w:eastAsia="宋体"/>
                <w:b/>
                <w:sz w:val="24"/>
                <w:szCs w:val="24"/>
              </w:rPr>
              <w:t>项目</w:t>
            </w:r>
          </w:p>
        </w:tc>
        <w:tc>
          <w:tcPr>
            <w:tcW w:w="3894" w:type="dxa"/>
            <w:vAlign w:val="center"/>
          </w:tcPr>
          <w:p>
            <w:pPr>
              <w:jc w:val="center"/>
              <w:rPr>
                <w:rFonts w:ascii="宋体" w:hAnsi="宋体" w:eastAsia="宋体"/>
                <w:b/>
                <w:sz w:val="24"/>
                <w:szCs w:val="24"/>
              </w:rPr>
            </w:pPr>
            <w:r>
              <w:rPr>
                <w:rFonts w:ascii="宋体" w:hAnsi="宋体" w:eastAsia="宋体"/>
                <w:b/>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 w:val="24"/>
                <w:szCs w:val="24"/>
              </w:rPr>
            </w:pPr>
            <w:r>
              <w:rPr>
                <w:rFonts w:hint="eastAsia" w:ascii="宋体" w:hAnsi="宋体" w:eastAsia="宋体"/>
                <w:kern w:val="0"/>
                <w:sz w:val="24"/>
                <w:szCs w:val="24"/>
              </w:rPr>
              <w:t>测定原理</w:t>
            </w:r>
          </w:p>
        </w:tc>
        <w:tc>
          <w:tcPr>
            <w:tcW w:w="3894" w:type="dxa"/>
            <w:vAlign w:val="center"/>
          </w:tcPr>
          <w:p>
            <w:pPr>
              <w:jc w:val="center"/>
              <w:rPr>
                <w:rFonts w:ascii="宋体" w:hAnsi="宋体" w:eastAsia="宋体"/>
                <w:sz w:val="24"/>
                <w:szCs w:val="24"/>
              </w:rPr>
            </w:pPr>
            <w:r>
              <w:rPr>
                <w:rFonts w:ascii="宋体" w:hAnsi="宋体" w:eastAsia="宋体"/>
                <w:kern w:val="0"/>
                <w:sz w:val="24"/>
                <w:szCs w:val="24"/>
              </w:rPr>
              <w:t>电化学法</w:t>
            </w:r>
            <w:r>
              <w:rPr>
                <w:rFonts w:hint="eastAsia" w:ascii="宋体" w:hAnsi="宋体" w:eastAsia="宋体"/>
                <w:kern w:val="0"/>
                <w:sz w:val="24"/>
                <w:szCs w:val="24"/>
              </w:rPr>
              <w:t>/</w:t>
            </w:r>
            <w:r>
              <w:rPr>
                <w:rFonts w:ascii="宋体" w:hAnsi="宋体" w:eastAsia="宋体"/>
                <w:kern w:val="0"/>
                <w:sz w:val="24"/>
                <w:szCs w:val="24"/>
              </w:rPr>
              <w:t>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 w:val="24"/>
                <w:szCs w:val="24"/>
              </w:rPr>
            </w:pPr>
            <w:r>
              <w:rPr>
                <w:rFonts w:ascii="宋体" w:hAnsi="宋体" w:eastAsia="宋体"/>
                <w:sz w:val="24"/>
                <w:szCs w:val="24"/>
              </w:rPr>
              <w:t>测定范围</w:t>
            </w:r>
          </w:p>
        </w:tc>
        <w:tc>
          <w:tcPr>
            <w:tcW w:w="3894" w:type="dxa"/>
            <w:vAlign w:val="center"/>
          </w:tcPr>
          <w:p>
            <w:pPr>
              <w:jc w:val="center"/>
              <w:rPr>
                <w:rFonts w:ascii="宋体" w:hAnsi="宋体" w:eastAsia="宋体"/>
                <w:sz w:val="24"/>
                <w:szCs w:val="24"/>
              </w:rPr>
            </w:pPr>
            <w:r>
              <w:rPr>
                <w:rFonts w:ascii="宋体" w:hAnsi="宋体" w:eastAsia="宋体"/>
                <w:sz w:val="24"/>
                <w:szCs w:val="24"/>
              </w:rPr>
              <w:t>0～20.00mg/L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 w:val="24"/>
                <w:szCs w:val="24"/>
              </w:rPr>
            </w:pPr>
            <w:r>
              <w:rPr>
                <w:rFonts w:hint="eastAsia" w:ascii="宋体" w:hAnsi="宋体" w:eastAsia="宋体"/>
                <w:sz w:val="24"/>
                <w:szCs w:val="24"/>
              </w:rPr>
              <w:t>准确度</w:t>
            </w:r>
          </w:p>
        </w:tc>
        <w:tc>
          <w:tcPr>
            <w:tcW w:w="3894" w:type="dxa"/>
            <w:vAlign w:val="center"/>
          </w:tcPr>
          <w:p>
            <w:pPr>
              <w:jc w:val="center"/>
              <w:rPr>
                <w:rFonts w:ascii="宋体" w:hAnsi="宋体" w:eastAsia="宋体"/>
                <w:sz w:val="24"/>
                <w:szCs w:val="24"/>
              </w:rPr>
            </w:pPr>
            <w:r>
              <w:rPr>
                <w:rFonts w:ascii="宋体" w:hAnsi="宋体" w:eastAsia="宋体"/>
                <w:sz w:val="24"/>
                <w:szCs w:val="24"/>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 w:val="24"/>
                <w:szCs w:val="24"/>
              </w:rPr>
            </w:pPr>
            <w:r>
              <w:rPr>
                <w:rFonts w:hint="eastAsia" w:ascii="宋体" w:hAnsi="宋体" w:eastAsia="宋体"/>
                <w:sz w:val="24"/>
                <w:szCs w:val="24"/>
              </w:rPr>
              <w:t>零点漂移</w:t>
            </w:r>
          </w:p>
        </w:tc>
        <w:tc>
          <w:tcPr>
            <w:tcW w:w="3894" w:type="dxa"/>
            <w:vAlign w:val="center"/>
          </w:tcPr>
          <w:p>
            <w:pPr>
              <w:jc w:val="center"/>
              <w:rPr>
                <w:rFonts w:ascii="宋体" w:hAnsi="宋体" w:eastAsia="宋体"/>
                <w:sz w:val="24"/>
                <w:szCs w:val="24"/>
              </w:rPr>
            </w:pPr>
            <w:r>
              <w:rPr>
                <w:rFonts w:ascii="宋体" w:hAnsi="宋体" w:eastAsia="宋体"/>
                <w:sz w:val="24"/>
                <w:szCs w:val="24"/>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 w:val="24"/>
                <w:szCs w:val="24"/>
              </w:rPr>
            </w:pPr>
            <w:r>
              <w:rPr>
                <w:rFonts w:hint="eastAsia" w:ascii="宋体" w:hAnsi="宋体" w:eastAsia="宋体"/>
                <w:sz w:val="24"/>
                <w:szCs w:val="24"/>
              </w:rPr>
              <w:t>量程漂移</w:t>
            </w:r>
          </w:p>
        </w:tc>
        <w:tc>
          <w:tcPr>
            <w:tcW w:w="3894" w:type="dxa"/>
            <w:vAlign w:val="center"/>
          </w:tcPr>
          <w:p>
            <w:pPr>
              <w:jc w:val="center"/>
              <w:rPr>
                <w:rFonts w:ascii="宋体" w:hAnsi="宋体" w:eastAsia="宋体"/>
                <w:sz w:val="24"/>
                <w:szCs w:val="24"/>
              </w:rPr>
            </w:pPr>
            <w:r>
              <w:rPr>
                <w:rFonts w:ascii="宋体" w:hAnsi="宋体" w:eastAsia="宋体"/>
                <w:sz w:val="24"/>
                <w:szCs w:val="24"/>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 w:val="24"/>
                <w:szCs w:val="24"/>
              </w:rPr>
            </w:pPr>
            <w:r>
              <w:rPr>
                <w:rFonts w:hint="eastAsia" w:ascii="宋体" w:hAnsi="宋体" w:eastAsia="宋体"/>
                <w:sz w:val="24"/>
                <w:szCs w:val="24"/>
              </w:rPr>
              <w:t>实际水样比对</w:t>
            </w:r>
          </w:p>
        </w:tc>
        <w:tc>
          <w:tcPr>
            <w:tcW w:w="3894" w:type="dxa"/>
            <w:vAlign w:val="center"/>
          </w:tcPr>
          <w:p>
            <w:pPr>
              <w:jc w:val="center"/>
              <w:rPr>
                <w:rFonts w:ascii="宋体" w:hAnsi="宋体" w:eastAsia="宋体"/>
                <w:sz w:val="24"/>
                <w:szCs w:val="24"/>
              </w:rPr>
            </w:pPr>
            <w:r>
              <w:rPr>
                <w:rFonts w:ascii="宋体" w:hAnsi="宋体" w:eastAsia="宋体"/>
                <w:sz w:val="24"/>
                <w:szCs w:val="24"/>
              </w:rPr>
              <w:t>±0.</w:t>
            </w:r>
            <w:r>
              <w:rPr>
                <w:rFonts w:hint="eastAsia" w:ascii="宋体" w:hAnsi="宋体" w:eastAsia="宋体"/>
                <w:sz w:val="24"/>
                <w:szCs w:val="24"/>
              </w:rPr>
              <w:t>5</w:t>
            </w:r>
            <w:r>
              <w:rPr>
                <w:rFonts w:ascii="宋体" w:hAnsi="宋体" w:eastAsia="宋体"/>
                <w:sz w:val="24"/>
                <w:szCs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 w:val="24"/>
                <w:szCs w:val="24"/>
              </w:rPr>
            </w:pPr>
            <w:r>
              <w:rPr>
                <w:rFonts w:ascii="宋体" w:hAnsi="宋体" w:eastAsia="宋体"/>
                <w:sz w:val="24"/>
                <w:szCs w:val="24"/>
              </w:rPr>
              <w:t>响应时间（T90）</w:t>
            </w:r>
          </w:p>
        </w:tc>
        <w:tc>
          <w:tcPr>
            <w:tcW w:w="3894" w:type="dxa"/>
            <w:vAlign w:val="center"/>
          </w:tcPr>
          <w:p>
            <w:pPr>
              <w:jc w:val="center"/>
              <w:rPr>
                <w:rFonts w:ascii="宋体" w:hAnsi="宋体" w:eastAsia="宋体"/>
                <w:sz w:val="24"/>
                <w:szCs w:val="24"/>
              </w:rPr>
            </w:pPr>
            <w:r>
              <w:rPr>
                <w:rFonts w:ascii="宋体" w:hAnsi="宋体" w:eastAsia="宋体"/>
                <w:sz w:val="24"/>
                <w:szCs w:val="24"/>
              </w:rPr>
              <w:t>≤120s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 w:val="24"/>
                <w:szCs w:val="24"/>
              </w:rPr>
            </w:pPr>
            <w:r>
              <w:rPr>
                <w:rFonts w:ascii="宋体" w:hAnsi="宋体" w:eastAsia="宋体"/>
                <w:sz w:val="24"/>
                <w:szCs w:val="24"/>
              </w:rPr>
              <w:t>温度补偿精度</w:t>
            </w:r>
          </w:p>
        </w:tc>
        <w:tc>
          <w:tcPr>
            <w:tcW w:w="3894" w:type="dxa"/>
            <w:vAlign w:val="center"/>
          </w:tcPr>
          <w:p>
            <w:pPr>
              <w:jc w:val="center"/>
              <w:rPr>
                <w:rFonts w:ascii="宋体" w:hAnsi="宋体" w:eastAsia="宋体"/>
                <w:sz w:val="24"/>
                <w:szCs w:val="24"/>
              </w:rPr>
            </w:pPr>
            <w:r>
              <w:rPr>
                <w:rFonts w:ascii="宋体" w:hAnsi="宋体" w:eastAsia="宋体"/>
                <w:sz w:val="24"/>
                <w:szCs w:val="24"/>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 w:val="24"/>
                <w:szCs w:val="24"/>
              </w:rPr>
            </w:pPr>
            <w:r>
              <w:rPr>
                <w:rFonts w:ascii="宋体" w:hAnsi="宋体" w:eastAsia="宋体"/>
                <w:sz w:val="24"/>
                <w:szCs w:val="24"/>
              </w:rPr>
              <w:t>防护等级</w:t>
            </w:r>
          </w:p>
        </w:tc>
        <w:tc>
          <w:tcPr>
            <w:tcW w:w="3894" w:type="dxa"/>
            <w:vAlign w:val="center"/>
          </w:tcPr>
          <w:p>
            <w:pPr>
              <w:jc w:val="center"/>
              <w:rPr>
                <w:rFonts w:ascii="宋体" w:hAnsi="宋体" w:eastAsia="宋体"/>
                <w:b/>
                <w:sz w:val="24"/>
                <w:szCs w:val="24"/>
              </w:rPr>
            </w:pPr>
            <w:r>
              <w:rPr>
                <w:rFonts w:ascii="宋体" w:hAnsi="宋体" w:eastAsia="宋体"/>
                <w:kern w:val="0"/>
                <w:sz w:val="24"/>
                <w:szCs w:val="24"/>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 w:val="24"/>
                <w:szCs w:val="24"/>
              </w:rPr>
            </w:pPr>
            <w:r>
              <w:rPr>
                <w:rFonts w:ascii="宋体" w:hAnsi="宋体" w:eastAsia="宋体"/>
                <w:sz w:val="24"/>
                <w:szCs w:val="24"/>
              </w:rPr>
              <w:t>MTBF</w:t>
            </w:r>
          </w:p>
        </w:tc>
        <w:tc>
          <w:tcPr>
            <w:tcW w:w="3894" w:type="dxa"/>
            <w:vAlign w:val="center"/>
          </w:tcPr>
          <w:p>
            <w:pPr>
              <w:jc w:val="center"/>
              <w:rPr>
                <w:rFonts w:ascii="宋体" w:hAnsi="宋体" w:eastAsia="宋体"/>
                <w:sz w:val="24"/>
                <w:szCs w:val="24"/>
              </w:rPr>
            </w:pPr>
            <w:r>
              <w:rPr>
                <w:rFonts w:ascii="宋体" w:hAnsi="宋体" w:eastAsia="宋体"/>
                <w:sz w:val="24"/>
                <w:szCs w:val="24"/>
              </w:rPr>
              <w:t>≥720h/次</w:t>
            </w:r>
          </w:p>
        </w:tc>
      </w:tr>
    </w:tbl>
    <w:p>
      <w:pPr>
        <w:spacing w:line="360" w:lineRule="auto"/>
        <w:rPr>
          <w:rFonts w:ascii="宋体" w:hAnsi="宋体" w:eastAsia="宋体"/>
          <w:sz w:val="24"/>
        </w:rPr>
      </w:pPr>
    </w:p>
    <w:p>
      <w:pPr>
        <w:spacing w:line="360" w:lineRule="auto"/>
        <w:rPr>
          <w:rFonts w:ascii="宋体" w:hAnsi="宋体" w:eastAsia="宋体"/>
          <w:sz w:val="24"/>
        </w:rPr>
      </w:pPr>
      <w:r>
        <w:rPr>
          <w:rFonts w:ascii="宋体" w:hAnsi="宋体" w:eastAsia="宋体"/>
          <w:sz w:val="24"/>
        </w:rPr>
        <w:t>（4）电导率自动分析仪技术指标要求</w:t>
      </w:r>
    </w:p>
    <w:tbl>
      <w:tblPr>
        <w:tblStyle w:val="25"/>
        <w:tblW w:w="6782" w:type="dxa"/>
        <w:jc w:val="center"/>
        <w:tblInd w:w="8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4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b/>
                <w:sz w:val="24"/>
                <w:szCs w:val="24"/>
              </w:rPr>
            </w:pPr>
            <w:r>
              <w:rPr>
                <w:rFonts w:ascii="宋体" w:hAnsi="宋体" w:eastAsia="宋体"/>
                <w:b/>
                <w:sz w:val="24"/>
                <w:szCs w:val="24"/>
              </w:rPr>
              <w:t>项目</w:t>
            </w:r>
          </w:p>
        </w:tc>
        <w:tc>
          <w:tcPr>
            <w:tcW w:w="4934" w:type="dxa"/>
            <w:vAlign w:val="center"/>
          </w:tcPr>
          <w:p>
            <w:pPr>
              <w:jc w:val="center"/>
              <w:rPr>
                <w:rFonts w:ascii="宋体" w:hAnsi="宋体" w:eastAsia="宋体"/>
                <w:b/>
                <w:sz w:val="24"/>
                <w:szCs w:val="24"/>
              </w:rPr>
            </w:pPr>
            <w:r>
              <w:rPr>
                <w:rFonts w:ascii="宋体" w:hAnsi="宋体" w:eastAsia="宋体"/>
                <w:b/>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b/>
                <w:sz w:val="24"/>
                <w:szCs w:val="24"/>
              </w:rPr>
            </w:pPr>
            <w:r>
              <w:rPr>
                <w:rFonts w:hint="eastAsia" w:ascii="宋体" w:hAnsi="宋体" w:eastAsia="宋体"/>
                <w:kern w:val="0"/>
                <w:sz w:val="24"/>
                <w:szCs w:val="24"/>
              </w:rPr>
              <w:t>测定原理</w:t>
            </w:r>
          </w:p>
        </w:tc>
        <w:tc>
          <w:tcPr>
            <w:tcW w:w="4934" w:type="dxa"/>
            <w:vAlign w:val="center"/>
          </w:tcPr>
          <w:p>
            <w:pPr>
              <w:jc w:val="center"/>
              <w:rPr>
                <w:rFonts w:ascii="宋体" w:hAnsi="宋体" w:eastAsia="宋体"/>
                <w:b/>
                <w:sz w:val="24"/>
                <w:szCs w:val="24"/>
              </w:rPr>
            </w:pPr>
            <w:r>
              <w:rPr>
                <w:rFonts w:ascii="宋体" w:hAnsi="宋体" w:eastAsia="宋体"/>
                <w:kern w:val="0"/>
                <w:sz w:val="24"/>
                <w:szCs w:val="24"/>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 w:val="24"/>
                <w:szCs w:val="24"/>
              </w:rPr>
            </w:pPr>
            <w:r>
              <w:rPr>
                <w:rFonts w:ascii="宋体" w:hAnsi="宋体" w:eastAsia="宋体"/>
                <w:sz w:val="24"/>
                <w:szCs w:val="24"/>
              </w:rPr>
              <w:t>测定范围</w:t>
            </w:r>
          </w:p>
        </w:tc>
        <w:tc>
          <w:tcPr>
            <w:tcW w:w="4934" w:type="dxa"/>
            <w:vAlign w:val="center"/>
          </w:tcPr>
          <w:p>
            <w:pPr>
              <w:jc w:val="center"/>
              <w:rPr>
                <w:rFonts w:ascii="宋体" w:hAnsi="宋体" w:eastAsia="宋体"/>
                <w:sz w:val="24"/>
                <w:szCs w:val="24"/>
              </w:rPr>
            </w:pPr>
            <w:r>
              <w:rPr>
                <w:rFonts w:ascii="宋体" w:hAnsi="宋体" w:eastAsia="宋体"/>
                <w:sz w:val="24"/>
                <w:szCs w:val="24"/>
              </w:rPr>
              <w:t>0-500mS/m（0-40℃），量程可自动切换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 w:val="24"/>
                <w:szCs w:val="24"/>
              </w:rPr>
            </w:pPr>
            <w:r>
              <w:rPr>
                <w:rFonts w:hint="eastAsia" w:ascii="宋体" w:hAnsi="宋体" w:eastAsia="宋体"/>
                <w:sz w:val="24"/>
                <w:szCs w:val="24"/>
              </w:rPr>
              <w:t>精密度</w:t>
            </w:r>
          </w:p>
        </w:tc>
        <w:tc>
          <w:tcPr>
            <w:tcW w:w="4934" w:type="dxa"/>
            <w:vAlign w:val="center"/>
          </w:tcPr>
          <w:p>
            <w:pPr>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5</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 w:val="24"/>
                <w:szCs w:val="24"/>
              </w:rPr>
            </w:pPr>
            <w:r>
              <w:rPr>
                <w:rFonts w:ascii="宋体" w:hAnsi="宋体" w:eastAsia="宋体"/>
                <w:sz w:val="24"/>
                <w:szCs w:val="24"/>
              </w:rPr>
              <w:t>准确度</w:t>
            </w:r>
          </w:p>
        </w:tc>
        <w:tc>
          <w:tcPr>
            <w:tcW w:w="4934" w:type="dxa"/>
            <w:vAlign w:val="center"/>
          </w:tcPr>
          <w:p>
            <w:pPr>
              <w:jc w:val="center"/>
              <w:rPr>
                <w:rFonts w:ascii="宋体" w:hAnsi="宋体" w:eastAsia="宋体"/>
                <w:sz w:val="24"/>
                <w:szCs w:val="24"/>
              </w:rPr>
            </w:pPr>
            <w:r>
              <w:rPr>
                <w:rFonts w:ascii="宋体" w:hAnsi="宋体" w:eastAsia="宋体"/>
                <w:bCs/>
                <w:sz w:val="24"/>
                <w:szCs w:val="24"/>
              </w:rPr>
              <w:t>±</w:t>
            </w:r>
            <w:r>
              <w:rPr>
                <w:rFonts w:hint="eastAsia" w:ascii="宋体" w:hAnsi="宋体" w:eastAsia="宋体"/>
                <w:bCs/>
                <w:sz w:val="24"/>
                <w:szCs w:val="24"/>
              </w:rPr>
              <w:t>5</w:t>
            </w:r>
            <w:r>
              <w:rPr>
                <w:rFonts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 w:val="24"/>
                <w:szCs w:val="24"/>
              </w:rPr>
            </w:pPr>
            <w:r>
              <w:rPr>
                <w:rFonts w:hint="eastAsia" w:ascii="宋体" w:hAnsi="宋体" w:eastAsia="宋体"/>
                <w:sz w:val="24"/>
                <w:szCs w:val="24"/>
              </w:rPr>
              <w:t>零点漂移</w:t>
            </w:r>
          </w:p>
        </w:tc>
        <w:tc>
          <w:tcPr>
            <w:tcW w:w="4934" w:type="dxa"/>
            <w:vAlign w:val="center"/>
          </w:tcPr>
          <w:p>
            <w:pPr>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5</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 w:val="24"/>
                <w:szCs w:val="24"/>
              </w:rPr>
            </w:pPr>
            <w:r>
              <w:rPr>
                <w:rFonts w:hint="eastAsia" w:ascii="宋体" w:hAnsi="宋体" w:eastAsia="宋体"/>
                <w:sz w:val="24"/>
                <w:szCs w:val="24"/>
              </w:rPr>
              <w:t>量程漂移</w:t>
            </w:r>
          </w:p>
        </w:tc>
        <w:tc>
          <w:tcPr>
            <w:tcW w:w="4934" w:type="dxa"/>
            <w:vAlign w:val="center"/>
          </w:tcPr>
          <w:p>
            <w:pPr>
              <w:jc w:val="center"/>
              <w:rPr>
                <w:rFonts w:ascii="宋体" w:hAnsi="宋体" w:eastAsia="宋体"/>
                <w:sz w:val="24"/>
                <w:szCs w:val="24"/>
              </w:rPr>
            </w:pPr>
            <w:r>
              <w:rPr>
                <w:rFonts w:ascii="宋体" w:hAnsi="宋体" w:eastAsia="宋体"/>
                <w:bCs/>
                <w:sz w:val="24"/>
                <w:szCs w:val="24"/>
              </w:rPr>
              <w:t>±</w:t>
            </w:r>
            <w:r>
              <w:rPr>
                <w:rFonts w:hint="eastAsia" w:ascii="宋体" w:hAnsi="宋体" w:eastAsia="宋体"/>
                <w:bCs/>
                <w:sz w:val="24"/>
                <w:szCs w:val="24"/>
              </w:rPr>
              <w:t>5</w:t>
            </w:r>
            <w:r>
              <w:rPr>
                <w:rFonts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 w:val="24"/>
                <w:szCs w:val="24"/>
              </w:rPr>
            </w:pPr>
            <w:r>
              <w:rPr>
                <w:rFonts w:hint="eastAsia" w:ascii="宋体" w:hAnsi="宋体" w:eastAsia="宋体"/>
                <w:sz w:val="24"/>
                <w:szCs w:val="24"/>
              </w:rPr>
              <w:t>实际水样比对</w:t>
            </w:r>
          </w:p>
        </w:tc>
        <w:tc>
          <w:tcPr>
            <w:tcW w:w="4934" w:type="dxa"/>
            <w:vAlign w:val="center"/>
          </w:tcPr>
          <w:p>
            <w:pPr>
              <w:jc w:val="center"/>
              <w:rPr>
                <w:rFonts w:ascii="宋体" w:hAnsi="宋体" w:eastAsia="宋体"/>
                <w:bCs/>
                <w:sz w:val="24"/>
                <w:szCs w:val="24"/>
              </w:rPr>
            </w:pPr>
            <w:r>
              <w:rPr>
                <w:rFonts w:ascii="宋体" w:hAnsi="宋体" w:eastAsia="宋体"/>
                <w:bCs/>
                <w:sz w:val="24"/>
                <w:szCs w:val="24"/>
              </w:rPr>
              <w:t>±</w:t>
            </w:r>
            <w:r>
              <w:rPr>
                <w:rFonts w:hint="eastAsia" w:ascii="宋体" w:hAnsi="宋体" w:eastAsia="宋体"/>
                <w:bCs/>
                <w:sz w:val="24"/>
                <w:szCs w:val="24"/>
              </w:rPr>
              <w:t>10</w:t>
            </w:r>
            <w:r>
              <w:rPr>
                <w:rFonts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 w:val="24"/>
                <w:szCs w:val="24"/>
              </w:rPr>
            </w:pPr>
            <w:r>
              <w:rPr>
                <w:rFonts w:ascii="宋体" w:hAnsi="宋体" w:eastAsia="宋体"/>
                <w:sz w:val="24"/>
                <w:szCs w:val="24"/>
              </w:rPr>
              <w:t>防护等级</w:t>
            </w:r>
          </w:p>
        </w:tc>
        <w:tc>
          <w:tcPr>
            <w:tcW w:w="4934" w:type="dxa"/>
            <w:vAlign w:val="center"/>
          </w:tcPr>
          <w:p>
            <w:pPr>
              <w:jc w:val="center"/>
              <w:rPr>
                <w:rFonts w:ascii="宋体" w:hAnsi="宋体" w:eastAsia="宋体"/>
                <w:bCs/>
                <w:sz w:val="24"/>
                <w:szCs w:val="24"/>
              </w:rPr>
            </w:pPr>
            <w:r>
              <w:rPr>
                <w:rFonts w:ascii="宋体" w:hAnsi="宋体" w:eastAsia="宋体"/>
                <w:kern w:val="0"/>
                <w:sz w:val="24"/>
                <w:szCs w:val="24"/>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 w:val="24"/>
                <w:szCs w:val="24"/>
              </w:rPr>
            </w:pPr>
            <w:r>
              <w:rPr>
                <w:rFonts w:ascii="宋体" w:hAnsi="宋体" w:eastAsia="宋体"/>
                <w:sz w:val="24"/>
                <w:szCs w:val="24"/>
              </w:rPr>
              <w:t>温度补偿</w:t>
            </w:r>
          </w:p>
        </w:tc>
        <w:tc>
          <w:tcPr>
            <w:tcW w:w="4934" w:type="dxa"/>
            <w:vAlign w:val="center"/>
          </w:tcPr>
          <w:p>
            <w:pPr>
              <w:jc w:val="center"/>
              <w:rPr>
                <w:rFonts w:ascii="宋体" w:hAnsi="宋体" w:eastAsia="宋体"/>
                <w:sz w:val="24"/>
                <w:szCs w:val="24"/>
              </w:rPr>
            </w:pPr>
            <w:r>
              <w:rPr>
                <w:rFonts w:ascii="宋体" w:hAnsi="宋体" w:eastAsia="宋体"/>
                <w:bCs/>
                <w:sz w:val="24"/>
                <w:szCs w:val="24"/>
              </w:rPr>
              <w:t>内置地表水非线性温度-5 ~ 60℃范围内补偿功能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Cs w:val="21"/>
              </w:rPr>
            </w:pPr>
            <w:r>
              <w:rPr>
                <w:rFonts w:ascii="宋体" w:hAnsi="宋体" w:eastAsia="宋体"/>
                <w:szCs w:val="21"/>
              </w:rPr>
              <w:t>MTBF</w:t>
            </w:r>
          </w:p>
        </w:tc>
        <w:tc>
          <w:tcPr>
            <w:tcW w:w="4934" w:type="dxa"/>
            <w:vAlign w:val="center"/>
          </w:tcPr>
          <w:p>
            <w:pPr>
              <w:jc w:val="center"/>
              <w:rPr>
                <w:rFonts w:ascii="宋体" w:hAnsi="宋体" w:eastAsia="宋体"/>
                <w:szCs w:val="21"/>
              </w:rPr>
            </w:pPr>
            <w:r>
              <w:rPr>
                <w:rFonts w:ascii="宋体" w:hAnsi="宋体" w:eastAsia="宋体"/>
                <w:szCs w:val="21"/>
              </w:rPr>
              <w:t>≥720h/次</w:t>
            </w:r>
          </w:p>
        </w:tc>
      </w:tr>
    </w:tbl>
    <w:p>
      <w:pPr>
        <w:tabs>
          <w:tab w:val="left" w:pos="720"/>
        </w:tabs>
        <w:spacing w:line="360" w:lineRule="auto"/>
        <w:rPr>
          <w:rFonts w:ascii="宋体" w:hAnsi="宋体" w:eastAsia="宋体"/>
          <w:bCs/>
          <w:sz w:val="24"/>
        </w:rPr>
      </w:pPr>
    </w:p>
    <w:p>
      <w:pPr>
        <w:tabs>
          <w:tab w:val="left" w:pos="720"/>
        </w:tabs>
        <w:spacing w:line="360" w:lineRule="auto"/>
        <w:rPr>
          <w:rFonts w:ascii="宋体" w:hAnsi="宋体" w:eastAsia="宋体"/>
          <w:sz w:val="24"/>
          <w:szCs w:val="24"/>
        </w:rPr>
      </w:pPr>
      <w:r>
        <w:rPr>
          <w:rFonts w:hint="eastAsia" w:ascii="宋体" w:hAnsi="宋体" w:eastAsia="宋体"/>
          <w:bCs/>
          <w:sz w:val="24"/>
        </w:rPr>
        <w:t>（</w:t>
      </w:r>
      <w:r>
        <w:rPr>
          <w:rFonts w:ascii="宋体" w:hAnsi="宋体" w:eastAsia="宋体"/>
          <w:bCs/>
          <w:sz w:val="24"/>
        </w:rPr>
        <w:t>5</w:t>
      </w:r>
      <w:r>
        <w:rPr>
          <w:rFonts w:hint="eastAsia" w:ascii="宋体" w:hAnsi="宋体" w:eastAsia="宋体"/>
          <w:bCs/>
          <w:sz w:val="24"/>
        </w:rPr>
        <w:t>）</w:t>
      </w:r>
      <w:r>
        <w:rPr>
          <w:rFonts w:hint="eastAsia" w:ascii="宋体" w:hAnsi="宋体" w:eastAsia="宋体"/>
          <w:sz w:val="24"/>
        </w:rPr>
        <w:t>浊度</w:t>
      </w:r>
      <w:r>
        <w:rPr>
          <w:rFonts w:ascii="宋体" w:hAnsi="宋体" w:eastAsia="宋体"/>
          <w:sz w:val="24"/>
        </w:rPr>
        <w:t>自</w:t>
      </w:r>
      <w:r>
        <w:rPr>
          <w:rFonts w:ascii="宋体" w:hAnsi="宋体" w:eastAsia="宋体"/>
          <w:sz w:val="24"/>
          <w:szCs w:val="24"/>
        </w:rPr>
        <w:t>动分析仪技术指标要求</w:t>
      </w:r>
    </w:p>
    <w:tbl>
      <w:tblPr>
        <w:tblStyle w:val="25"/>
        <w:tblW w:w="6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b/>
                <w:sz w:val="24"/>
                <w:szCs w:val="24"/>
              </w:rPr>
            </w:pPr>
            <w:r>
              <w:rPr>
                <w:rFonts w:ascii="宋体" w:hAnsi="宋体" w:eastAsia="宋体"/>
                <w:b/>
                <w:sz w:val="24"/>
                <w:szCs w:val="24"/>
              </w:rPr>
              <w:t>项目</w:t>
            </w:r>
          </w:p>
        </w:tc>
        <w:tc>
          <w:tcPr>
            <w:tcW w:w="4536" w:type="dxa"/>
            <w:vAlign w:val="center"/>
          </w:tcPr>
          <w:p>
            <w:pPr>
              <w:jc w:val="center"/>
              <w:rPr>
                <w:rFonts w:ascii="宋体" w:hAnsi="宋体" w:eastAsia="宋体"/>
                <w:b/>
                <w:sz w:val="24"/>
                <w:szCs w:val="24"/>
              </w:rPr>
            </w:pPr>
            <w:r>
              <w:rPr>
                <w:rFonts w:ascii="宋体" w:hAnsi="宋体" w:eastAsia="宋体"/>
                <w:b/>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b/>
                <w:sz w:val="24"/>
                <w:szCs w:val="24"/>
              </w:rPr>
            </w:pPr>
            <w:r>
              <w:rPr>
                <w:rFonts w:hint="eastAsia" w:ascii="宋体" w:hAnsi="宋体" w:eastAsia="宋体"/>
                <w:kern w:val="0"/>
                <w:sz w:val="24"/>
                <w:szCs w:val="24"/>
              </w:rPr>
              <w:t>测定原理</w:t>
            </w:r>
          </w:p>
        </w:tc>
        <w:tc>
          <w:tcPr>
            <w:tcW w:w="4536" w:type="dxa"/>
            <w:vAlign w:val="center"/>
          </w:tcPr>
          <w:p>
            <w:pPr>
              <w:jc w:val="center"/>
              <w:rPr>
                <w:rFonts w:ascii="宋体" w:hAnsi="宋体" w:eastAsia="宋体"/>
                <w:b/>
                <w:sz w:val="24"/>
                <w:szCs w:val="24"/>
              </w:rPr>
            </w:pPr>
            <w:r>
              <w:rPr>
                <w:rFonts w:hint="eastAsia" w:ascii="宋体" w:hAnsi="宋体" w:eastAsia="宋体"/>
                <w:kern w:val="0"/>
                <w:sz w:val="24"/>
                <w:szCs w:val="24"/>
              </w:rPr>
              <w:t>光散射法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 w:val="24"/>
                <w:szCs w:val="24"/>
              </w:rPr>
            </w:pPr>
            <w:r>
              <w:rPr>
                <w:rFonts w:ascii="宋体" w:hAnsi="宋体" w:eastAsia="宋体"/>
                <w:sz w:val="24"/>
                <w:szCs w:val="24"/>
              </w:rPr>
              <w:t>测定范围</w:t>
            </w:r>
          </w:p>
        </w:tc>
        <w:tc>
          <w:tcPr>
            <w:tcW w:w="4536" w:type="dxa"/>
            <w:vAlign w:val="center"/>
          </w:tcPr>
          <w:p>
            <w:pPr>
              <w:jc w:val="center"/>
              <w:rPr>
                <w:rFonts w:ascii="宋体" w:hAnsi="宋体" w:eastAsia="宋体"/>
                <w:sz w:val="24"/>
                <w:szCs w:val="24"/>
              </w:rPr>
            </w:pPr>
            <w:r>
              <w:rPr>
                <w:rFonts w:ascii="宋体" w:hAnsi="宋体" w:eastAsia="宋体"/>
                <w:sz w:val="24"/>
                <w:szCs w:val="24"/>
              </w:rPr>
              <w:t>0-4000NTU，量程可自动切换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 w:val="24"/>
                <w:szCs w:val="24"/>
              </w:rPr>
            </w:pPr>
            <w:r>
              <w:rPr>
                <w:rFonts w:hint="eastAsia" w:ascii="宋体" w:hAnsi="宋体" w:eastAsia="宋体"/>
                <w:sz w:val="24"/>
                <w:szCs w:val="24"/>
              </w:rPr>
              <w:t>精密度</w:t>
            </w:r>
          </w:p>
        </w:tc>
        <w:tc>
          <w:tcPr>
            <w:tcW w:w="4536" w:type="dxa"/>
            <w:vAlign w:val="center"/>
          </w:tcPr>
          <w:p>
            <w:pPr>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5</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 w:val="24"/>
                <w:szCs w:val="24"/>
              </w:rPr>
            </w:pPr>
            <w:r>
              <w:rPr>
                <w:rFonts w:ascii="宋体" w:hAnsi="宋体" w:eastAsia="宋体"/>
                <w:sz w:val="24"/>
                <w:szCs w:val="24"/>
              </w:rPr>
              <w:t>准确度</w:t>
            </w:r>
          </w:p>
        </w:tc>
        <w:tc>
          <w:tcPr>
            <w:tcW w:w="4536" w:type="dxa"/>
            <w:vAlign w:val="center"/>
          </w:tcPr>
          <w:p>
            <w:pPr>
              <w:jc w:val="center"/>
              <w:rPr>
                <w:rFonts w:ascii="宋体" w:hAnsi="宋体" w:eastAsia="宋体"/>
                <w:sz w:val="24"/>
                <w:szCs w:val="24"/>
              </w:rPr>
            </w:pPr>
            <w:r>
              <w:rPr>
                <w:rFonts w:ascii="宋体" w:hAnsi="宋体" w:eastAsia="宋体"/>
                <w:bCs/>
                <w:sz w:val="24"/>
                <w:szCs w:val="24"/>
              </w:rPr>
              <w:t>±</w:t>
            </w:r>
            <w:r>
              <w:rPr>
                <w:rFonts w:hint="eastAsia" w:ascii="宋体" w:hAnsi="宋体" w:eastAsia="宋体"/>
                <w:bCs/>
                <w:sz w:val="24"/>
                <w:szCs w:val="24"/>
              </w:rPr>
              <w:t>5</w:t>
            </w:r>
            <w:r>
              <w:rPr>
                <w:rFonts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 w:val="24"/>
                <w:szCs w:val="24"/>
              </w:rPr>
            </w:pPr>
            <w:r>
              <w:rPr>
                <w:rFonts w:hint="eastAsia" w:ascii="宋体" w:hAnsi="宋体" w:eastAsia="宋体"/>
                <w:sz w:val="24"/>
                <w:szCs w:val="24"/>
              </w:rPr>
              <w:t>零点漂移</w:t>
            </w:r>
          </w:p>
        </w:tc>
        <w:tc>
          <w:tcPr>
            <w:tcW w:w="4536" w:type="dxa"/>
            <w:vAlign w:val="center"/>
          </w:tcPr>
          <w:p>
            <w:pPr>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5</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 w:val="24"/>
                <w:szCs w:val="24"/>
              </w:rPr>
            </w:pPr>
            <w:r>
              <w:rPr>
                <w:rFonts w:hint="eastAsia" w:ascii="宋体" w:hAnsi="宋体" w:eastAsia="宋体"/>
                <w:sz w:val="24"/>
                <w:szCs w:val="24"/>
              </w:rPr>
              <w:t>量程漂移</w:t>
            </w:r>
          </w:p>
        </w:tc>
        <w:tc>
          <w:tcPr>
            <w:tcW w:w="4536" w:type="dxa"/>
            <w:vAlign w:val="center"/>
          </w:tcPr>
          <w:p>
            <w:pPr>
              <w:jc w:val="center"/>
              <w:rPr>
                <w:rFonts w:ascii="宋体" w:hAnsi="宋体" w:eastAsia="宋体"/>
                <w:sz w:val="24"/>
                <w:szCs w:val="24"/>
              </w:rPr>
            </w:pPr>
            <w:r>
              <w:rPr>
                <w:rFonts w:ascii="宋体" w:hAnsi="宋体" w:eastAsia="宋体"/>
                <w:bCs/>
                <w:sz w:val="24"/>
                <w:szCs w:val="24"/>
              </w:rPr>
              <w:t>±</w:t>
            </w:r>
            <w:r>
              <w:rPr>
                <w:rFonts w:hint="eastAsia" w:ascii="宋体" w:hAnsi="宋体" w:eastAsia="宋体"/>
                <w:bCs/>
                <w:sz w:val="24"/>
                <w:szCs w:val="24"/>
              </w:rPr>
              <w:t>5</w:t>
            </w:r>
            <w:r>
              <w:rPr>
                <w:rFonts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 w:val="24"/>
                <w:szCs w:val="24"/>
              </w:rPr>
            </w:pPr>
            <w:r>
              <w:rPr>
                <w:rFonts w:hint="eastAsia" w:ascii="宋体" w:hAnsi="宋体" w:eastAsia="宋体"/>
                <w:sz w:val="24"/>
                <w:szCs w:val="24"/>
              </w:rPr>
              <w:t>实际水样比对</w:t>
            </w:r>
          </w:p>
        </w:tc>
        <w:tc>
          <w:tcPr>
            <w:tcW w:w="4536" w:type="dxa"/>
            <w:vAlign w:val="center"/>
          </w:tcPr>
          <w:p>
            <w:pPr>
              <w:jc w:val="center"/>
              <w:rPr>
                <w:rFonts w:ascii="宋体" w:hAnsi="宋体" w:eastAsia="宋体"/>
                <w:bCs/>
                <w:sz w:val="24"/>
                <w:szCs w:val="24"/>
              </w:rPr>
            </w:pPr>
            <w:r>
              <w:rPr>
                <w:rFonts w:ascii="宋体" w:hAnsi="宋体" w:eastAsia="宋体"/>
                <w:bCs/>
                <w:sz w:val="24"/>
                <w:szCs w:val="24"/>
              </w:rPr>
              <w:t>±</w:t>
            </w:r>
            <w:r>
              <w:rPr>
                <w:rFonts w:hint="eastAsia" w:ascii="宋体" w:hAnsi="宋体" w:eastAsia="宋体"/>
                <w:bCs/>
                <w:sz w:val="24"/>
                <w:szCs w:val="24"/>
              </w:rPr>
              <w:t>10</w:t>
            </w:r>
            <w:r>
              <w:rPr>
                <w:rFonts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 w:val="24"/>
                <w:szCs w:val="24"/>
              </w:rPr>
            </w:pPr>
            <w:r>
              <w:rPr>
                <w:rFonts w:ascii="宋体" w:hAnsi="宋体" w:eastAsia="宋体"/>
                <w:sz w:val="24"/>
                <w:szCs w:val="24"/>
              </w:rPr>
              <w:t>防护等级</w:t>
            </w:r>
          </w:p>
        </w:tc>
        <w:tc>
          <w:tcPr>
            <w:tcW w:w="4536" w:type="dxa"/>
            <w:vAlign w:val="center"/>
          </w:tcPr>
          <w:p>
            <w:pPr>
              <w:jc w:val="center"/>
              <w:rPr>
                <w:rFonts w:ascii="宋体" w:hAnsi="宋体" w:eastAsia="宋体"/>
                <w:bCs/>
                <w:sz w:val="24"/>
                <w:szCs w:val="24"/>
              </w:rPr>
            </w:pPr>
            <w:r>
              <w:rPr>
                <w:rFonts w:ascii="宋体" w:hAnsi="宋体" w:eastAsia="宋体"/>
                <w:kern w:val="0"/>
                <w:sz w:val="24"/>
                <w:szCs w:val="24"/>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 w:val="24"/>
                <w:szCs w:val="24"/>
              </w:rPr>
            </w:pPr>
            <w:r>
              <w:rPr>
                <w:rFonts w:ascii="宋体" w:hAnsi="宋体" w:eastAsia="宋体"/>
                <w:sz w:val="24"/>
                <w:szCs w:val="24"/>
              </w:rPr>
              <w:t>MTBF</w:t>
            </w:r>
          </w:p>
        </w:tc>
        <w:tc>
          <w:tcPr>
            <w:tcW w:w="4536" w:type="dxa"/>
            <w:vAlign w:val="center"/>
          </w:tcPr>
          <w:p>
            <w:pPr>
              <w:jc w:val="center"/>
              <w:rPr>
                <w:rFonts w:ascii="宋体" w:hAnsi="宋体" w:eastAsia="宋体"/>
                <w:sz w:val="24"/>
                <w:szCs w:val="24"/>
              </w:rPr>
            </w:pPr>
            <w:r>
              <w:rPr>
                <w:rFonts w:ascii="宋体" w:hAnsi="宋体" w:eastAsia="宋体"/>
                <w:sz w:val="24"/>
                <w:szCs w:val="24"/>
              </w:rPr>
              <w:t>≥720h/次</w:t>
            </w:r>
          </w:p>
        </w:tc>
      </w:tr>
    </w:tbl>
    <w:p>
      <w:pPr>
        <w:tabs>
          <w:tab w:val="left" w:pos="720"/>
        </w:tabs>
        <w:spacing w:line="360" w:lineRule="auto"/>
        <w:rPr>
          <w:rFonts w:ascii="宋体" w:hAnsi="宋体" w:eastAsia="宋体"/>
          <w:bCs/>
          <w:sz w:val="24"/>
          <w:szCs w:val="24"/>
        </w:rPr>
      </w:pPr>
    </w:p>
    <w:p>
      <w:pPr>
        <w:spacing w:line="360" w:lineRule="auto"/>
        <w:rPr>
          <w:rFonts w:ascii="宋体" w:hAnsi="宋体" w:eastAsia="宋体"/>
          <w:sz w:val="24"/>
          <w:szCs w:val="24"/>
        </w:rPr>
      </w:pPr>
      <w:r>
        <w:rPr>
          <w:rFonts w:ascii="宋体" w:hAnsi="宋体" w:eastAsia="宋体"/>
          <w:kern w:val="0"/>
          <w:sz w:val="24"/>
          <w:szCs w:val="24"/>
        </w:rPr>
        <w:t>（6）氨氮</w:t>
      </w:r>
      <w:r>
        <w:rPr>
          <w:rFonts w:ascii="宋体" w:hAnsi="宋体" w:eastAsia="宋体"/>
          <w:sz w:val="24"/>
          <w:szCs w:val="24"/>
        </w:rPr>
        <w:t>自动分析仪技术指标要求</w:t>
      </w:r>
    </w:p>
    <w:tbl>
      <w:tblPr>
        <w:tblStyle w:val="25"/>
        <w:tblW w:w="6802" w:type="dxa"/>
        <w:jc w:val="center"/>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blHeader/>
          <w:jc w:val="center"/>
        </w:trPr>
        <w:tc>
          <w:tcPr>
            <w:tcW w:w="2206" w:type="dxa"/>
            <w:vAlign w:val="center"/>
          </w:tcPr>
          <w:p>
            <w:pPr>
              <w:widowControl/>
              <w:jc w:val="center"/>
              <w:rPr>
                <w:rFonts w:ascii="宋体" w:hAnsi="宋体" w:eastAsia="宋体"/>
                <w:b/>
                <w:kern w:val="0"/>
                <w:sz w:val="24"/>
                <w:szCs w:val="24"/>
              </w:rPr>
            </w:pPr>
            <w:r>
              <w:rPr>
                <w:rFonts w:ascii="宋体" w:hAnsi="宋体" w:eastAsia="宋体"/>
                <w:b/>
                <w:kern w:val="0"/>
                <w:sz w:val="24"/>
                <w:szCs w:val="24"/>
              </w:rPr>
              <w:t>项目</w:t>
            </w:r>
          </w:p>
        </w:tc>
        <w:tc>
          <w:tcPr>
            <w:tcW w:w="4596" w:type="dxa"/>
            <w:vAlign w:val="center"/>
          </w:tcPr>
          <w:p>
            <w:pPr>
              <w:widowControl/>
              <w:jc w:val="center"/>
              <w:rPr>
                <w:rFonts w:ascii="宋体" w:hAnsi="宋体" w:eastAsia="宋体"/>
                <w:b/>
                <w:kern w:val="0"/>
                <w:sz w:val="24"/>
                <w:szCs w:val="24"/>
              </w:rPr>
            </w:pPr>
            <w:r>
              <w:rPr>
                <w:rFonts w:ascii="宋体" w:hAnsi="宋体" w:eastAsia="宋体"/>
                <w:b/>
                <w:kern w:val="0"/>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206" w:type="dxa"/>
            <w:vAlign w:val="center"/>
          </w:tcPr>
          <w:p>
            <w:pPr>
              <w:widowControl/>
              <w:jc w:val="center"/>
              <w:rPr>
                <w:rFonts w:ascii="宋体" w:hAnsi="宋体" w:eastAsia="宋体"/>
                <w:kern w:val="0"/>
                <w:sz w:val="24"/>
                <w:szCs w:val="24"/>
              </w:rPr>
            </w:pPr>
            <w:r>
              <w:rPr>
                <w:rFonts w:ascii="宋体" w:hAnsi="宋体" w:eastAsia="宋体"/>
                <w:kern w:val="0"/>
                <w:sz w:val="24"/>
                <w:szCs w:val="24"/>
              </w:rPr>
              <w:t>测定原理</w:t>
            </w:r>
          </w:p>
        </w:tc>
        <w:tc>
          <w:tcPr>
            <w:tcW w:w="4596" w:type="dxa"/>
            <w:vAlign w:val="center"/>
          </w:tcPr>
          <w:p>
            <w:pPr>
              <w:widowControl/>
              <w:jc w:val="center"/>
              <w:rPr>
                <w:rFonts w:ascii="宋体" w:hAnsi="宋体" w:eastAsia="宋体"/>
                <w:kern w:val="0"/>
                <w:sz w:val="24"/>
                <w:szCs w:val="24"/>
              </w:rPr>
            </w:pPr>
            <w:r>
              <w:rPr>
                <w:rFonts w:ascii="宋体" w:hAnsi="宋体" w:eastAsia="宋体"/>
                <w:kern w:val="0"/>
                <w:sz w:val="24"/>
                <w:szCs w:val="24"/>
              </w:rPr>
              <w:t>纳氏试剂分光光度法</w:t>
            </w:r>
            <w:r>
              <w:rPr>
                <w:rFonts w:hint="eastAsia" w:ascii="宋体" w:hAnsi="宋体" w:eastAsia="宋体"/>
                <w:kern w:val="0"/>
                <w:sz w:val="24"/>
                <w:szCs w:val="24"/>
              </w:rPr>
              <w:t>/</w:t>
            </w:r>
            <w:r>
              <w:rPr>
                <w:rFonts w:ascii="宋体" w:hAnsi="宋体" w:eastAsia="宋体"/>
                <w:kern w:val="0"/>
                <w:sz w:val="24"/>
                <w:szCs w:val="24"/>
              </w:rPr>
              <w:t>水杨酸分光光度法</w:t>
            </w:r>
            <w:r>
              <w:rPr>
                <w:rFonts w:hint="eastAsia" w:ascii="宋体" w:hAnsi="宋体" w:eastAsia="宋体"/>
                <w:kern w:val="0"/>
                <w:sz w:val="24"/>
                <w:szCs w:val="24"/>
              </w:rPr>
              <w:t>/</w:t>
            </w:r>
            <w:r>
              <w:rPr>
                <w:rFonts w:ascii="宋体" w:hAnsi="宋体" w:eastAsia="宋体"/>
                <w:kern w:val="0"/>
                <w:sz w:val="24"/>
                <w:szCs w:val="24"/>
              </w:rPr>
              <w:t>氨气敏电极法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206" w:type="dxa"/>
            <w:vAlign w:val="center"/>
          </w:tcPr>
          <w:p>
            <w:pPr>
              <w:widowControl/>
              <w:jc w:val="center"/>
              <w:rPr>
                <w:rFonts w:ascii="宋体" w:hAnsi="宋体" w:eastAsia="宋体"/>
                <w:kern w:val="0"/>
                <w:sz w:val="24"/>
                <w:szCs w:val="24"/>
              </w:rPr>
            </w:pPr>
            <w:r>
              <w:rPr>
                <w:rFonts w:ascii="宋体" w:hAnsi="宋体" w:eastAsia="宋体"/>
                <w:kern w:val="0"/>
                <w:sz w:val="24"/>
                <w:szCs w:val="24"/>
              </w:rPr>
              <w:t>量程</w:t>
            </w:r>
          </w:p>
        </w:tc>
        <w:tc>
          <w:tcPr>
            <w:tcW w:w="4596" w:type="dxa"/>
            <w:vAlign w:val="center"/>
          </w:tcPr>
          <w:p>
            <w:pPr>
              <w:widowControl/>
              <w:jc w:val="center"/>
              <w:rPr>
                <w:rFonts w:ascii="宋体" w:hAnsi="宋体" w:eastAsia="宋体"/>
                <w:kern w:val="0"/>
                <w:sz w:val="24"/>
                <w:szCs w:val="24"/>
              </w:rPr>
            </w:pPr>
            <w:r>
              <w:rPr>
                <w:rFonts w:ascii="宋体" w:hAnsi="宋体" w:eastAsia="宋体"/>
                <w:kern w:val="0"/>
                <w:sz w:val="24"/>
                <w:szCs w:val="24"/>
              </w:rPr>
              <w:t>0～10</w:t>
            </w:r>
            <w:r>
              <w:rPr>
                <w:rFonts w:hint="eastAsia" w:ascii="宋体" w:hAnsi="宋体" w:eastAsia="宋体"/>
                <w:kern w:val="0"/>
                <w:sz w:val="24"/>
                <w:szCs w:val="24"/>
              </w:rPr>
              <w:t>0</w:t>
            </w:r>
            <w:r>
              <w:rPr>
                <w:rFonts w:ascii="宋体" w:hAnsi="宋体" w:eastAsia="宋体"/>
                <w:kern w:val="0"/>
                <w:sz w:val="24"/>
                <w:szCs w:val="24"/>
              </w:rPr>
              <w:t>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20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检出限</w:t>
            </w:r>
          </w:p>
        </w:tc>
        <w:tc>
          <w:tcPr>
            <w:tcW w:w="4596" w:type="dxa"/>
            <w:vAlign w:val="center"/>
          </w:tcPr>
          <w:p>
            <w:pPr>
              <w:widowControl/>
              <w:jc w:val="center"/>
              <w:rPr>
                <w:rFonts w:ascii="宋体" w:hAnsi="宋体" w:eastAsia="宋体"/>
                <w:kern w:val="0"/>
                <w:sz w:val="24"/>
                <w:szCs w:val="24"/>
              </w:rPr>
            </w:pPr>
            <w:r>
              <w:rPr>
                <w:rFonts w:ascii="宋体" w:hAnsi="宋体" w:eastAsia="宋体"/>
                <w:kern w:val="0"/>
                <w:sz w:val="24"/>
                <w:szCs w:val="24"/>
              </w:rPr>
              <w:t>≤</w:t>
            </w:r>
            <w:r>
              <w:rPr>
                <w:rFonts w:hint="eastAsia" w:ascii="宋体" w:hAnsi="宋体" w:eastAsia="宋体"/>
                <w:kern w:val="0"/>
                <w:sz w:val="24"/>
                <w:szCs w:val="24"/>
              </w:rPr>
              <w:t>0.05</w:t>
            </w:r>
            <w:r>
              <w:rPr>
                <w:rFonts w:ascii="宋体" w:hAnsi="宋体" w:eastAsia="宋体"/>
                <w:kern w:val="0"/>
                <w:sz w:val="24"/>
                <w:szCs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20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精密度</w:t>
            </w:r>
          </w:p>
        </w:tc>
        <w:tc>
          <w:tcPr>
            <w:tcW w:w="4596" w:type="dxa"/>
            <w:vAlign w:val="center"/>
          </w:tcPr>
          <w:p>
            <w:pPr>
              <w:widowControl/>
              <w:jc w:val="center"/>
              <w:rPr>
                <w:rFonts w:ascii="宋体" w:hAnsi="宋体" w:eastAsia="宋体"/>
                <w:kern w:val="0"/>
                <w:sz w:val="24"/>
                <w:szCs w:val="24"/>
              </w:rPr>
            </w:pPr>
            <w:r>
              <w:rPr>
                <w:rFonts w:ascii="宋体" w:hAnsi="宋体" w:eastAsia="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20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准确性</w:t>
            </w:r>
          </w:p>
        </w:tc>
        <w:tc>
          <w:tcPr>
            <w:tcW w:w="4596" w:type="dxa"/>
            <w:vAlign w:val="center"/>
          </w:tcPr>
          <w:p>
            <w:pPr>
              <w:widowControl/>
              <w:jc w:val="center"/>
              <w:rPr>
                <w:rFonts w:ascii="宋体" w:hAnsi="宋体" w:eastAsia="宋体"/>
                <w:kern w:val="0"/>
                <w:sz w:val="24"/>
                <w:szCs w:val="24"/>
              </w:rPr>
            </w:pPr>
            <w:r>
              <w:rPr>
                <w:rFonts w:ascii="宋体" w:hAnsi="宋体" w:eastAsia="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206" w:type="dxa"/>
            <w:vAlign w:val="center"/>
          </w:tcPr>
          <w:p>
            <w:pPr>
              <w:widowControl/>
              <w:jc w:val="center"/>
              <w:rPr>
                <w:rFonts w:ascii="宋体" w:hAnsi="宋体" w:eastAsia="宋体"/>
                <w:kern w:val="0"/>
                <w:sz w:val="24"/>
                <w:szCs w:val="24"/>
              </w:rPr>
            </w:pPr>
            <w:r>
              <w:rPr>
                <w:rFonts w:ascii="宋体" w:hAnsi="宋体" w:eastAsia="宋体"/>
                <w:kern w:val="0"/>
                <w:sz w:val="24"/>
                <w:szCs w:val="24"/>
              </w:rPr>
              <w:t>零点漂移</w:t>
            </w:r>
          </w:p>
        </w:tc>
        <w:tc>
          <w:tcPr>
            <w:tcW w:w="4596" w:type="dxa"/>
            <w:vAlign w:val="center"/>
          </w:tcPr>
          <w:p>
            <w:pPr>
              <w:widowControl/>
              <w:jc w:val="center"/>
              <w:rPr>
                <w:rFonts w:ascii="宋体" w:hAnsi="宋体" w:eastAsia="宋体"/>
                <w:kern w:val="0"/>
                <w:sz w:val="24"/>
                <w:szCs w:val="24"/>
              </w:rPr>
            </w:pPr>
            <w:r>
              <w:rPr>
                <w:rFonts w:ascii="宋体" w:hAnsi="宋体" w:eastAsia="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2206" w:type="dxa"/>
            <w:vAlign w:val="center"/>
          </w:tcPr>
          <w:p>
            <w:pPr>
              <w:widowControl/>
              <w:jc w:val="center"/>
              <w:rPr>
                <w:rFonts w:ascii="宋体" w:hAnsi="宋体" w:eastAsia="宋体"/>
                <w:kern w:val="0"/>
                <w:sz w:val="24"/>
                <w:szCs w:val="24"/>
              </w:rPr>
            </w:pPr>
            <w:r>
              <w:rPr>
                <w:rFonts w:ascii="宋体" w:hAnsi="宋体" w:eastAsia="宋体"/>
                <w:kern w:val="0"/>
                <w:sz w:val="24"/>
                <w:szCs w:val="24"/>
              </w:rPr>
              <w:t>量程漂移</w:t>
            </w:r>
          </w:p>
        </w:tc>
        <w:tc>
          <w:tcPr>
            <w:tcW w:w="4596" w:type="dxa"/>
            <w:vAlign w:val="center"/>
          </w:tcPr>
          <w:p>
            <w:pPr>
              <w:widowControl/>
              <w:jc w:val="center"/>
              <w:rPr>
                <w:rFonts w:ascii="宋体" w:hAnsi="宋体" w:eastAsia="宋体"/>
                <w:kern w:val="0"/>
                <w:sz w:val="24"/>
                <w:szCs w:val="24"/>
              </w:rPr>
            </w:pPr>
            <w:r>
              <w:rPr>
                <w:rFonts w:ascii="宋体" w:hAnsi="宋体" w:eastAsia="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220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实际水样比对</w:t>
            </w:r>
          </w:p>
        </w:tc>
        <w:tc>
          <w:tcPr>
            <w:tcW w:w="4596" w:type="dxa"/>
            <w:vAlign w:val="center"/>
          </w:tcPr>
          <w:p>
            <w:pPr>
              <w:jc w:val="center"/>
              <w:rPr>
                <w:rFonts w:ascii="宋体" w:hAnsi="宋体" w:eastAsia="宋体"/>
                <w:kern w:val="0"/>
                <w:sz w:val="24"/>
                <w:szCs w:val="24"/>
              </w:rPr>
            </w:pPr>
            <w:r>
              <w:rPr>
                <w:rFonts w:hint="eastAsia" w:ascii="宋体" w:hAnsi="宋体" w:eastAsia="宋体"/>
                <w:kern w:val="0"/>
                <w:sz w:val="24"/>
                <w:szCs w:val="24"/>
              </w:rPr>
              <w:t>（1）仪器测定浓度＞地表水Ⅳ类标准限值，相对误差≤±20%；（2）地表水Ⅱ类标准限值＜仪器测定浓度≤地表水Ⅳ类标准限值，相对误差≤±30%；（3）当自动监测结果和实验室分析结果均低于Ⅱ类标准限值时，认定比对实验结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6" w:type="dxa"/>
            <w:vAlign w:val="center"/>
          </w:tcPr>
          <w:p>
            <w:pPr>
              <w:widowControl/>
              <w:jc w:val="center"/>
              <w:rPr>
                <w:rFonts w:ascii="宋体" w:hAnsi="宋体" w:eastAsia="宋体"/>
                <w:kern w:val="0"/>
                <w:sz w:val="24"/>
                <w:szCs w:val="24"/>
              </w:rPr>
            </w:pPr>
            <w:r>
              <w:rPr>
                <w:rFonts w:ascii="宋体" w:hAnsi="宋体" w:eastAsia="宋体"/>
                <w:kern w:val="0"/>
                <w:sz w:val="24"/>
                <w:szCs w:val="24"/>
              </w:rPr>
              <w:t>最小维护周期</w:t>
            </w:r>
          </w:p>
        </w:tc>
        <w:tc>
          <w:tcPr>
            <w:tcW w:w="4596" w:type="dxa"/>
            <w:vAlign w:val="center"/>
          </w:tcPr>
          <w:p>
            <w:pPr>
              <w:widowControl/>
              <w:jc w:val="center"/>
              <w:rPr>
                <w:rFonts w:ascii="宋体" w:hAnsi="宋体" w:eastAsia="宋体"/>
                <w:kern w:val="0"/>
                <w:sz w:val="24"/>
                <w:szCs w:val="24"/>
              </w:rPr>
            </w:pPr>
            <w:r>
              <w:rPr>
                <w:rFonts w:ascii="宋体" w:hAnsi="宋体" w:eastAsia="宋体"/>
                <w:kern w:val="0"/>
                <w:sz w:val="24"/>
                <w:szCs w:val="24"/>
              </w:rPr>
              <w:t>≥168h</w:t>
            </w:r>
          </w:p>
        </w:tc>
      </w:tr>
    </w:tbl>
    <w:p>
      <w:pPr>
        <w:spacing w:line="360" w:lineRule="auto"/>
        <w:rPr>
          <w:rFonts w:ascii="宋体" w:hAnsi="宋体" w:eastAsia="宋体"/>
          <w:kern w:val="0"/>
          <w:sz w:val="24"/>
          <w:szCs w:val="24"/>
        </w:rPr>
      </w:pPr>
      <w:bookmarkStart w:id="71" w:name="_Toc505184821"/>
      <w:bookmarkStart w:id="72" w:name="_Toc505252670"/>
    </w:p>
    <w:p>
      <w:pPr>
        <w:spacing w:line="360" w:lineRule="auto"/>
        <w:rPr>
          <w:rFonts w:ascii="宋体" w:hAnsi="宋体" w:eastAsia="宋体"/>
          <w:kern w:val="0"/>
          <w:sz w:val="24"/>
          <w:szCs w:val="24"/>
        </w:rPr>
      </w:pPr>
      <w:r>
        <w:rPr>
          <w:rFonts w:hint="eastAsia" w:ascii="宋体" w:hAnsi="宋体" w:eastAsia="宋体"/>
          <w:kern w:val="0"/>
          <w:sz w:val="24"/>
          <w:szCs w:val="24"/>
        </w:rPr>
        <w:t>（7）CODcr自动分析仪</w:t>
      </w:r>
      <w:bookmarkEnd w:id="71"/>
      <w:bookmarkEnd w:id="72"/>
      <w:r>
        <w:rPr>
          <w:rFonts w:ascii="宋体" w:hAnsi="宋体" w:eastAsia="宋体"/>
          <w:kern w:val="0"/>
          <w:sz w:val="24"/>
          <w:szCs w:val="24"/>
        </w:rPr>
        <w:t>技术指标要求</w:t>
      </w:r>
    </w:p>
    <w:tbl>
      <w:tblPr>
        <w:tblStyle w:val="25"/>
        <w:tblW w:w="6744" w:type="dxa"/>
        <w:jc w:val="center"/>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1"/>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blHeader/>
          <w:jc w:val="center"/>
        </w:trPr>
        <w:tc>
          <w:tcPr>
            <w:tcW w:w="3601"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项目</w:t>
            </w:r>
          </w:p>
        </w:tc>
        <w:tc>
          <w:tcPr>
            <w:tcW w:w="3143"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601" w:type="dxa"/>
            <w:tcBorders>
              <w:tl2br w:val="nil"/>
              <w:tr2bl w:val="nil"/>
            </w:tcBorders>
            <w:vAlign w:val="center"/>
          </w:tcPr>
          <w:p>
            <w:pPr>
              <w:widowControl/>
              <w:jc w:val="center"/>
              <w:rPr>
                <w:rFonts w:ascii="宋体" w:hAnsi="宋体" w:eastAsia="宋体"/>
                <w:kern w:val="0"/>
                <w:sz w:val="24"/>
                <w:szCs w:val="24"/>
              </w:rPr>
            </w:pPr>
            <w:r>
              <w:rPr>
                <w:rFonts w:hint="eastAsia" w:ascii="宋体" w:hAnsi="宋体" w:eastAsia="宋体"/>
                <w:kern w:val="0"/>
                <w:sz w:val="24"/>
                <w:szCs w:val="24"/>
              </w:rPr>
              <w:t>测定原理</w:t>
            </w:r>
          </w:p>
        </w:tc>
        <w:tc>
          <w:tcPr>
            <w:tcW w:w="3143" w:type="dxa"/>
            <w:tcBorders>
              <w:tl2br w:val="nil"/>
              <w:tr2bl w:val="nil"/>
            </w:tcBorders>
            <w:vAlign w:val="center"/>
          </w:tcPr>
          <w:p>
            <w:pPr>
              <w:widowControl/>
              <w:jc w:val="center"/>
              <w:rPr>
                <w:rFonts w:ascii="宋体" w:hAnsi="宋体" w:eastAsia="宋体"/>
                <w:kern w:val="0"/>
                <w:sz w:val="24"/>
                <w:szCs w:val="24"/>
              </w:rPr>
            </w:pPr>
            <w:r>
              <w:rPr>
                <w:rFonts w:hint="eastAsia" w:ascii="宋体" w:hAnsi="宋体" w:eastAsia="宋体" w:cs="宋体"/>
                <w:bCs/>
                <w:sz w:val="24"/>
                <w:szCs w:val="24"/>
              </w:rPr>
              <w:t>重铬酸钾氧化分光光度法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601" w:type="dxa"/>
            <w:tcBorders>
              <w:tl2br w:val="nil"/>
              <w:tr2bl w:val="nil"/>
            </w:tcBorders>
            <w:vAlign w:val="center"/>
          </w:tcPr>
          <w:p>
            <w:pPr>
              <w:widowControl/>
              <w:jc w:val="center"/>
              <w:rPr>
                <w:rFonts w:ascii="宋体" w:hAnsi="宋体" w:eastAsia="宋体"/>
                <w:kern w:val="0"/>
                <w:sz w:val="24"/>
                <w:szCs w:val="24"/>
              </w:rPr>
            </w:pPr>
            <w:r>
              <w:rPr>
                <w:rFonts w:hint="eastAsia" w:ascii="宋体" w:hAnsi="宋体" w:eastAsia="宋体"/>
                <w:kern w:val="0"/>
                <w:sz w:val="24"/>
                <w:szCs w:val="24"/>
              </w:rPr>
              <w:t>量程</w:t>
            </w:r>
          </w:p>
        </w:tc>
        <w:tc>
          <w:tcPr>
            <w:tcW w:w="3143" w:type="dxa"/>
            <w:tcBorders>
              <w:tl2br w:val="nil"/>
              <w:tr2bl w:val="nil"/>
            </w:tcBorders>
            <w:vAlign w:val="center"/>
          </w:tcPr>
          <w:p>
            <w:pPr>
              <w:widowControl/>
              <w:jc w:val="center"/>
              <w:rPr>
                <w:rFonts w:ascii="宋体" w:hAnsi="宋体" w:eastAsia="宋体"/>
                <w:kern w:val="0"/>
                <w:sz w:val="24"/>
                <w:szCs w:val="24"/>
              </w:rPr>
            </w:pPr>
            <w:r>
              <w:rPr>
                <w:rFonts w:hint="eastAsia" w:ascii="宋体" w:hAnsi="宋体" w:eastAsia="宋体" w:cs="宋体"/>
                <w:bCs/>
                <w:sz w:val="24"/>
                <w:szCs w:val="24"/>
              </w:rPr>
              <w:t>0-2000mg/L，可调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601"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零点漂移</w:t>
            </w:r>
          </w:p>
        </w:tc>
        <w:tc>
          <w:tcPr>
            <w:tcW w:w="3143"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601"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量程漂移</w:t>
            </w:r>
          </w:p>
        </w:tc>
        <w:tc>
          <w:tcPr>
            <w:tcW w:w="3143"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w:t>
            </w:r>
            <w:r>
              <w:rPr>
                <w:rFonts w:hint="eastAsia" w:ascii="宋体" w:hAnsi="宋体" w:eastAsia="宋体"/>
                <w:kern w:val="0"/>
                <w:sz w:val="24"/>
                <w:szCs w:val="24"/>
              </w:rPr>
              <w:t>10</w:t>
            </w:r>
            <w:r>
              <w:rPr>
                <w:rFonts w:ascii="宋体" w:hAnsi="宋体" w:eastAsia="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601" w:type="dxa"/>
            <w:tcBorders>
              <w:tl2br w:val="nil"/>
              <w:tr2bl w:val="nil"/>
            </w:tcBorders>
            <w:vAlign w:val="center"/>
          </w:tcPr>
          <w:p>
            <w:pPr>
              <w:widowControl/>
              <w:jc w:val="center"/>
              <w:rPr>
                <w:rFonts w:ascii="宋体" w:hAnsi="宋体" w:eastAsia="宋体"/>
                <w:kern w:val="0"/>
                <w:sz w:val="24"/>
                <w:szCs w:val="24"/>
              </w:rPr>
            </w:pPr>
            <w:r>
              <w:rPr>
                <w:rFonts w:hint="eastAsia" w:ascii="宋体" w:hAnsi="宋体" w:eastAsia="宋体"/>
                <w:kern w:val="0"/>
                <w:sz w:val="24"/>
                <w:szCs w:val="24"/>
              </w:rPr>
              <w:t>准确度</w:t>
            </w:r>
          </w:p>
        </w:tc>
        <w:tc>
          <w:tcPr>
            <w:tcW w:w="3143"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w:t>
            </w:r>
            <w:r>
              <w:rPr>
                <w:rFonts w:hint="eastAsia" w:ascii="宋体" w:hAnsi="宋体" w:eastAsia="宋体"/>
                <w:kern w:val="0"/>
                <w:sz w:val="24"/>
                <w:szCs w:val="24"/>
              </w:rPr>
              <w:t>10</w:t>
            </w:r>
            <w:r>
              <w:rPr>
                <w:rFonts w:ascii="宋体" w:hAnsi="宋体" w:eastAsia="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601"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重复性</w:t>
            </w:r>
          </w:p>
        </w:tc>
        <w:tc>
          <w:tcPr>
            <w:tcW w:w="3143"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w:t>
            </w:r>
            <w:r>
              <w:rPr>
                <w:rFonts w:hint="eastAsia" w:ascii="宋体" w:hAnsi="宋体" w:eastAsia="宋体"/>
                <w:kern w:val="0"/>
                <w:sz w:val="24"/>
                <w:szCs w:val="24"/>
              </w:rPr>
              <w:t>10</w:t>
            </w:r>
            <w:r>
              <w:rPr>
                <w:rFonts w:ascii="宋体" w:hAnsi="宋体" w:eastAsia="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601"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检出限</w:t>
            </w:r>
          </w:p>
        </w:tc>
        <w:tc>
          <w:tcPr>
            <w:tcW w:w="3143" w:type="dxa"/>
            <w:tcBorders>
              <w:tl2br w:val="nil"/>
              <w:tr2bl w:val="nil"/>
            </w:tcBorders>
            <w:vAlign w:val="center"/>
          </w:tcPr>
          <w:p>
            <w:pPr>
              <w:widowControl/>
              <w:jc w:val="center"/>
              <w:rPr>
                <w:rFonts w:ascii="宋体" w:hAnsi="宋体" w:eastAsia="宋体"/>
                <w:kern w:val="0"/>
                <w:sz w:val="24"/>
                <w:szCs w:val="24"/>
              </w:rPr>
            </w:pPr>
            <w:r>
              <w:rPr>
                <w:rFonts w:hint="eastAsia" w:ascii="宋体" w:hAnsi="宋体" w:eastAsia="宋体" w:cs="宋体"/>
                <w:bCs/>
                <w:sz w:val="24"/>
                <w:szCs w:val="24"/>
              </w:rPr>
              <w:t>≤5mg/L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601"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MTBF</w:t>
            </w:r>
          </w:p>
        </w:tc>
        <w:tc>
          <w:tcPr>
            <w:tcW w:w="3143" w:type="dxa"/>
            <w:tcBorders>
              <w:tl2br w:val="nil"/>
              <w:tr2bl w:val="nil"/>
            </w:tcBorders>
            <w:vAlign w:val="center"/>
          </w:tcPr>
          <w:p>
            <w:pPr>
              <w:widowControl/>
              <w:jc w:val="center"/>
              <w:rPr>
                <w:rFonts w:ascii="宋体" w:hAnsi="宋体" w:eastAsia="宋体"/>
                <w:kern w:val="0"/>
                <w:sz w:val="24"/>
                <w:szCs w:val="24"/>
              </w:rPr>
            </w:pPr>
            <w:r>
              <w:rPr>
                <w:rFonts w:hint="eastAsia" w:ascii="宋体" w:hAnsi="宋体" w:eastAsia="宋体" w:cs="宋体"/>
                <w:bCs/>
                <w:sz w:val="24"/>
                <w:szCs w:val="24"/>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3601" w:type="dxa"/>
            <w:tcBorders>
              <w:tl2br w:val="nil"/>
              <w:tr2bl w:val="nil"/>
            </w:tcBorders>
            <w:vAlign w:val="center"/>
          </w:tcPr>
          <w:p>
            <w:pPr>
              <w:widowControl/>
              <w:jc w:val="center"/>
              <w:rPr>
                <w:rFonts w:ascii="宋体" w:hAnsi="宋体" w:eastAsia="宋体"/>
                <w:kern w:val="0"/>
                <w:sz w:val="24"/>
                <w:szCs w:val="24"/>
              </w:rPr>
            </w:pPr>
            <w:r>
              <w:rPr>
                <w:rFonts w:ascii="宋体" w:hAnsi="宋体" w:eastAsia="宋体"/>
                <w:kern w:val="0"/>
                <w:sz w:val="24"/>
                <w:szCs w:val="24"/>
              </w:rPr>
              <w:t>实际水样比对试验</w:t>
            </w:r>
          </w:p>
        </w:tc>
        <w:tc>
          <w:tcPr>
            <w:tcW w:w="3143" w:type="dxa"/>
            <w:tcBorders>
              <w:tl2br w:val="nil"/>
              <w:tr2bl w:val="nil"/>
            </w:tcBorders>
            <w:vAlign w:val="center"/>
          </w:tcPr>
          <w:p>
            <w:pPr>
              <w:widowControl/>
              <w:jc w:val="center"/>
              <w:rPr>
                <w:rFonts w:ascii="宋体" w:hAnsi="宋体" w:eastAsia="宋体"/>
                <w:kern w:val="0"/>
                <w:sz w:val="24"/>
                <w:szCs w:val="24"/>
              </w:rPr>
            </w:pPr>
            <w:r>
              <w:rPr>
                <w:rFonts w:hint="eastAsia" w:ascii="宋体" w:hAnsi="宋体" w:eastAsia="宋体" w:cs="宋体"/>
                <w:bCs/>
                <w:sz w:val="24"/>
                <w:szCs w:val="24"/>
              </w:rPr>
              <w:t>≤</w:t>
            </w:r>
            <w:r>
              <w:rPr>
                <w:rFonts w:ascii="宋体" w:hAnsi="宋体" w:eastAsia="宋体"/>
                <w:kern w:val="0"/>
                <w:sz w:val="24"/>
                <w:szCs w:val="24"/>
              </w:rPr>
              <w:t>±</w:t>
            </w:r>
            <w:r>
              <w:rPr>
                <w:rFonts w:hint="eastAsia" w:ascii="宋体" w:hAnsi="宋体" w:eastAsia="宋体" w:cs="宋体"/>
                <w:bCs/>
                <w:sz w:val="24"/>
                <w:szCs w:val="24"/>
              </w:rPr>
              <w:t>20%</w:t>
            </w:r>
          </w:p>
        </w:tc>
      </w:tr>
    </w:tbl>
    <w:p>
      <w:pPr>
        <w:tabs>
          <w:tab w:val="left" w:pos="720"/>
        </w:tabs>
        <w:spacing w:line="360" w:lineRule="auto"/>
        <w:rPr>
          <w:rFonts w:ascii="宋体" w:hAnsi="宋体" w:eastAsia="宋体"/>
          <w:bCs/>
          <w:sz w:val="28"/>
          <w:szCs w:val="28"/>
        </w:rPr>
      </w:pPr>
    </w:p>
    <w:p>
      <w:pPr>
        <w:spacing w:line="360" w:lineRule="auto"/>
        <w:outlineLvl w:val="3"/>
        <w:rPr>
          <w:rFonts w:ascii="宋体" w:hAnsi="宋体" w:eastAsia="宋体"/>
          <w:b/>
          <w:sz w:val="28"/>
          <w:szCs w:val="28"/>
        </w:rPr>
      </w:pPr>
      <w:r>
        <w:rPr>
          <w:rFonts w:ascii="宋体" w:hAnsi="宋体" w:eastAsia="宋体"/>
          <w:b/>
          <w:sz w:val="28"/>
          <w:szCs w:val="28"/>
        </w:rPr>
        <w:t>（四）、系统各单元及集成技术要求</w:t>
      </w:r>
    </w:p>
    <w:p>
      <w:pPr>
        <w:spacing w:line="360" w:lineRule="auto"/>
        <w:outlineLvl w:val="4"/>
        <w:rPr>
          <w:rFonts w:ascii="宋体" w:hAnsi="宋体" w:eastAsia="宋体"/>
          <w:b/>
          <w:sz w:val="24"/>
        </w:rPr>
      </w:pPr>
      <w:r>
        <w:rPr>
          <w:rFonts w:ascii="宋体" w:hAnsi="宋体" w:eastAsia="宋体"/>
          <w:b/>
          <w:sz w:val="24"/>
        </w:rPr>
        <w:t>1、采水单元</w:t>
      </w:r>
    </w:p>
    <w:p>
      <w:pPr>
        <w:spacing w:line="360" w:lineRule="auto"/>
        <w:jc w:val="left"/>
        <w:rPr>
          <w:rFonts w:ascii="宋体" w:hAnsi="宋体" w:eastAsia="宋体"/>
          <w:sz w:val="24"/>
        </w:rPr>
      </w:pPr>
      <w:r>
        <w:rPr>
          <w:rFonts w:ascii="宋体" w:hAnsi="宋体" w:eastAsia="宋体"/>
          <w:sz w:val="24"/>
        </w:rPr>
        <w:t>（1）采用双泵、双管路采水；一备一用，保证一路采水出现问题时，可以自动切换到另一路继续正常运行；</w:t>
      </w:r>
    </w:p>
    <w:p>
      <w:pPr>
        <w:spacing w:line="360" w:lineRule="auto"/>
        <w:jc w:val="left"/>
        <w:rPr>
          <w:rFonts w:ascii="宋体" w:hAnsi="宋体" w:eastAsia="宋体"/>
          <w:sz w:val="24"/>
        </w:rPr>
      </w:pPr>
      <w:r>
        <w:rPr>
          <w:rFonts w:ascii="宋体" w:hAnsi="宋体" w:eastAsia="宋体"/>
          <w:sz w:val="24"/>
        </w:rPr>
        <w:t>（2）</w:t>
      </w:r>
      <w:r>
        <w:rPr>
          <w:rFonts w:hint="eastAsia" w:ascii="宋体" w:hAnsi="宋体" w:eastAsia="宋体"/>
          <w:sz w:val="24"/>
        </w:rPr>
        <w:t>投标人</w:t>
      </w:r>
      <w:r>
        <w:rPr>
          <w:rFonts w:ascii="宋体" w:hAnsi="宋体" w:eastAsia="宋体"/>
          <w:sz w:val="24"/>
        </w:rPr>
        <w:t>可以根据取水距离及采水落差自主选择自吸泵</w:t>
      </w:r>
      <w:r>
        <w:rPr>
          <w:rFonts w:hint="eastAsia" w:ascii="宋体" w:hAnsi="宋体" w:eastAsia="宋体"/>
          <w:sz w:val="24"/>
        </w:rPr>
        <w:t>或</w:t>
      </w:r>
      <w:r>
        <w:rPr>
          <w:rFonts w:ascii="宋体" w:hAnsi="宋体" w:eastAsia="宋体"/>
          <w:sz w:val="24"/>
        </w:rPr>
        <w:t>潜水泵采水方式；</w:t>
      </w:r>
    </w:p>
    <w:p>
      <w:pPr>
        <w:spacing w:line="360" w:lineRule="auto"/>
        <w:jc w:val="left"/>
        <w:rPr>
          <w:rFonts w:ascii="宋体" w:hAnsi="宋体" w:eastAsia="宋体"/>
          <w:sz w:val="24"/>
        </w:rPr>
      </w:pPr>
      <w:r>
        <w:rPr>
          <w:rFonts w:ascii="宋体" w:hAnsi="宋体" w:eastAsia="宋体"/>
          <w:sz w:val="24"/>
        </w:rPr>
        <w:t>（3）采水管路进行绝热处理，减少环境温度等因素对水样的影响；采水管路采用保温设计，同时深埋冻土层以下，有效防冻防晒；</w:t>
      </w:r>
    </w:p>
    <w:p>
      <w:pPr>
        <w:spacing w:line="360" w:lineRule="auto"/>
        <w:jc w:val="left"/>
        <w:rPr>
          <w:rFonts w:ascii="宋体" w:hAnsi="宋体" w:eastAsia="宋体"/>
          <w:sz w:val="24"/>
        </w:rPr>
      </w:pPr>
      <w:r>
        <w:rPr>
          <w:rFonts w:ascii="宋体" w:hAnsi="宋体" w:eastAsia="宋体"/>
          <w:sz w:val="24"/>
        </w:rPr>
        <w:t>（4）管道采用排空设计，防止管路冻结，有效清洗管路，防止藻类滋生；</w:t>
      </w:r>
    </w:p>
    <w:p>
      <w:pPr>
        <w:spacing w:line="360" w:lineRule="auto"/>
        <w:jc w:val="left"/>
        <w:rPr>
          <w:rFonts w:ascii="宋体" w:hAnsi="宋体" w:eastAsia="宋体"/>
          <w:sz w:val="24"/>
        </w:rPr>
      </w:pPr>
      <w:r>
        <w:rPr>
          <w:rFonts w:ascii="宋体" w:hAnsi="宋体" w:eastAsia="宋体"/>
          <w:sz w:val="24"/>
        </w:rPr>
        <w:t>（5）采水管路采用优质PVC管材，有较强的抗压耐老化功能；</w:t>
      </w:r>
    </w:p>
    <w:p>
      <w:pPr>
        <w:spacing w:line="360" w:lineRule="auto"/>
        <w:jc w:val="left"/>
        <w:rPr>
          <w:rFonts w:ascii="宋体" w:hAnsi="宋体" w:eastAsia="宋体"/>
          <w:sz w:val="24"/>
        </w:rPr>
      </w:pPr>
      <w:r>
        <w:rPr>
          <w:rFonts w:ascii="宋体" w:hAnsi="宋体" w:eastAsia="宋体"/>
          <w:sz w:val="24"/>
        </w:rPr>
        <w:t>（6）取水口采样单元能随水位浮动，确保在水面以下0.5～</w:t>
      </w:r>
      <w:r>
        <w:rPr>
          <w:rFonts w:hint="eastAsia" w:ascii="宋体" w:hAnsi="宋体" w:eastAsia="宋体"/>
          <w:sz w:val="24"/>
        </w:rPr>
        <w:t>1.0</w:t>
      </w:r>
      <w:r>
        <w:rPr>
          <w:rFonts w:ascii="宋体" w:hAnsi="宋体" w:eastAsia="宋体"/>
          <w:sz w:val="24"/>
        </w:rPr>
        <w:t>m。</w:t>
      </w:r>
    </w:p>
    <w:p>
      <w:pPr>
        <w:spacing w:line="360" w:lineRule="auto"/>
        <w:outlineLvl w:val="4"/>
        <w:rPr>
          <w:rFonts w:ascii="宋体" w:hAnsi="宋体" w:eastAsia="宋体"/>
          <w:b/>
          <w:sz w:val="24"/>
        </w:rPr>
      </w:pPr>
      <w:r>
        <w:rPr>
          <w:rFonts w:ascii="宋体" w:hAnsi="宋体" w:eastAsia="宋体"/>
          <w:b/>
          <w:sz w:val="24"/>
        </w:rPr>
        <w:t>2、预处理及配水单元</w:t>
      </w:r>
    </w:p>
    <w:p>
      <w:pPr>
        <w:spacing w:line="360" w:lineRule="auto"/>
        <w:jc w:val="left"/>
        <w:rPr>
          <w:rFonts w:ascii="宋体" w:hAnsi="宋体" w:eastAsia="宋体"/>
          <w:sz w:val="24"/>
        </w:rPr>
      </w:pPr>
      <w:r>
        <w:rPr>
          <w:rFonts w:ascii="宋体" w:hAnsi="宋体" w:eastAsia="宋体"/>
          <w:sz w:val="24"/>
        </w:rPr>
        <w:t>（1）主管路采用串联方式，管路干路中无阻拦式过滤装置；仪器采用并联取样方式，主管路上，每台仪器都设有旁路系统。</w:t>
      </w:r>
    </w:p>
    <w:p>
      <w:pPr>
        <w:spacing w:line="360" w:lineRule="auto"/>
        <w:jc w:val="left"/>
        <w:rPr>
          <w:rFonts w:ascii="宋体" w:hAnsi="宋体" w:eastAsia="宋体"/>
          <w:sz w:val="24"/>
        </w:rPr>
      </w:pPr>
      <w:r>
        <w:rPr>
          <w:rFonts w:ascii="宋体" w:hAnsi="宋体" w:eastAsia="宋体"/>
          <w:sz w:val="24"/>
        </w:rPr>
        <w:t>（2）在站房进水处，设有压力表，可实时显示进口压力，并可近程、远程了解采水系统的工作情况。能通过流量或压力显示采水状态并能报警。</w:t>
      </w:r>
    </w:p>
    <w:p>
      <w:pPr>
        <w:spacing w:line="360" w:lineRule="auto"/>
        <w:jc w:val="left"/>
        <w:rPr>
          <w:rFonts w:ascii="宋体" w:hAnsi="宋体" w:eastAsia="宋体"/>
          <w:sz w:val="24"/>
        </w:rPr>
      </w:pPr>
      <w:r>
        <w:rPr>
          <w:rFonts w:ascii="宋体" w:hAnsi="宋体" w:eastAsia="宋体"/>
          <w:sz w:val="24"/>
        </w:rPr>
        <w:t>（3）根据仪表的监测参数，一部分水样按照最短取水距离原则不经过任何预处理，直接送入五参数自动监测仪测量池。</w:t>
      </w:r>
    </w:p>
    <w:p>
      <w:pPr>
        <w:spacing w:line="360" w:lineRule="auto"/>
        <w:jc w:val="left"/>
        <w:rPr>
          <w:rFonts w:ascii="宋体" w:hAnsi="宋体" w:eastAsia="宋体"/>
          <w:sz w:val="24"/>
        </w:rPr>
      </w:pPr>
      <w:r>
        <w:rPr>
          <w:rFonts w:ascii="宋体" w:hAnsi="宋体" w:eastAsia="宋体"/>
          <w:sz w:val="24"/>
        </w:rPr>
        <w:t>（4）系统不破坏水质的任何成分。</w:t>
      </w:r>
    </w:p>
    <w:p>
      <w:pPr>
        <w:spacing w:line="360" w:lineRule="auto"/>
        <w:jc w:val="left"/>
        <w:rPr>
          <w:rFonts w:ascii="宋体" w:hAnsi="宋体" w:eastAsia="宋体"/>
          <w:sz w:val="24"/>
        </w:rPr>
      </w:pPr>
      <w:r>
        <w:rPr>
          <w:rFonts w:ascii="宋体" w:hAnsi="宋体" w:eastAsia="宋体"/>
          <w:sz w:val="24"/>
        </w:rPr>
        <w:t>（5）管路清洗方式保证管道内无泥沙、无藻、管壁无附着物</w:t>
      </w:r>
      <w:r>
        <w:rPr>
          <w:rFonts w:hint="eastAsia" w:ascii="宋体" w:hAnsi="宋体" w:eastAsia="宋体"/>
          <w:sz w:val="24"/>
        </w:rPr>
        <w:t>；</w:t>
      </w:r>
      <w:r>
        <w:rPr>
          <w:rFonts w:ascii="宋体" w:hAnsi="宋体" w:eastAsia="宋体"/>
          <w:sz w:val="24"/>
        </w:rPr>
        <w:t>管路清洗不能对环境造成二次污染</w:t>
      </w:r>
      <w:r>
        <w:rPr>
          <w:rFonts w:hint="eastAsia" w:ascii="宋体" w:hAnsi="宋体" w:eastAsia="宋体"/>
          <w:sz w:val="24"/>
        </w:rPr>
        <w:t>。</w:t>
      </w:r>
    </w:p>
    <w:p>
      <w:pPr>
        <w:spacing w:line="360" w:lineRule="auto"/>
        <w:jc w:val="left"/>
        <w:rPr>
          <w:rFonts w:ascii="宋体" w:hAnsi="宋体" w:eastAsia="宋体"/>
          <w:sz w:val="24"/>
        </w:rPr>
      </w:pPr>
      <w:r>
        <w:rPr>
          <w:rFonts w:hint="eastAsia" w:ascii="宋体" w:hAnsi="宋体" w:eastAsia="宋体"/>
          <w:sz w:val="24"/>
        </w:rPr>
        <w:t>（6）</w:t>
      </w:r>
      <w:r>
        <w:rPr>
          <w:rFonts w:ascii="宋体" w:hAnsi="宋体" w:eastAsia="宋体"/>
          <w:sz w:val="24"/>
        </w:rPr>
        <w:t>方便系统手动比对取水样同时确保手工比对水样和系统取水水样的一致性，设计手工比对取水口</w:t>
      </w:r>
      <w:r>
        <w:rPr>
          <w:rFonts w:hint="eastAsia" w:ascii="宋体" w:hAnsi="宋体" w:eastAsia="宋体"/>
          <w:sz w:val="24"/>
        </w:rPr>
        <w:t>。</w:t>
      </w:r>
    </w:p>
    <w:p>
      <w:pPr>
        <w:spacing w:line="360" w:lineRule="auto"/>
        <w:outlineLvl w:val="4"/>
        <w:rPr>
          <w:rFonts w:ascii="宋体" w:hAnsi="宋体" w:eastAsia="宋体"/>
          <w:b/>
          <w:sz w:val="24"/>
        </w:rPr>
      </w:pPr>
      <w:r>
        <w:rPr>
          <w:rFonts w:ascii="宋体" w:hAnsi="宋体" w:eastAsia="宋体"/>
          <w:b/>
          <w:sz w:val="24"/>
        </w:rPr>
        <w:t>3、控制单元及系统集成</w:t>
      </w:r>
    </w:p>
    <w:p>
      <w:pPr>
        <w:spacing w:line="360" w:lineRule="auto"/>
        <w:jc w:val="left"/>
        <w:rPr>
          <w:rFonts w:ascii="宋体" w:hAnsi="宋体" w:eastAsia="宋体"/>
          <w:sz w:val="24"/>
        </w:rPr>
      </w:pPr>
      <w:r>
        <w:rPr>
          <w:rFonts w:ascii="宋体" w:hAnsi="宋体" w:eastAsia="宋体"/>
          <w:sz w:val="24"/>
        </w:rPr>
        <w:t>（1）机电一体式设计思想，结构紧凑，运行可靠；预处理单元及配水单元、控制单元全部集成在一体化机柜内，方便现场安装；</w:t>
      </w:r>
    </w:p>
    <w:p>
      <w:pPr>
        <w:spacing w:line="360" w:lineRule="auto"/>
        <w:jc w:val="left"/>
        <w:rPr>
          <w:rFonts w:ascii="宋体" w:hAnsi="宋体" w:eastAsia="宋体"/>
          <w:sz w:val="24"/>
        </w:rPr>
      </w:pPr>
      <w:r>
        <w:rPr>
          <w:rFonts w:ascii="宋体" w:hAnsi="宋体" w:eastAsia="宋体"/>
          <w:sz w:val="24"/>
        </w:rPr>
        <w:t>（2）现场采水泵、阀门及进样泵采用PLC进行逻辑控制，确保运行稳定；</w:t>
      </w:r>
    </w:p>
    <w:p>
      <w:pPr>
        <w:spacing w:line="360" w:lineRule="auto"/>
        <w:jc w:val="left"/>
        <w:rPr>
          <w:rFonts w:ascii="宋体" w:hAnsi="宋体" w:eastAsia="宋体"/>
          <w:sz w:val="24"/>
        </w:rPr>
      </w:pPr>
      <w:r>
        <w:rPr>
          <w:rFonts w:ascii="宋体" w:hAnsi="宋体" w:eastAsia="宋体"/>
          <w:sz w:val="24"/>
        </w:rPr>
        <w:t>（3）现场工控</w:t>
      </w:r>
      <w:r>
        <w:rPr>
          <w:rFonts w:hint="eastAsia" w:ascii="宋体" w:hAnsi="宋体" w:eastAsia="宋体"/>
          <w:sz w:val="24"/>
        </w:rPr>
        <w:t>系统</w:t>
      </w:r>
      <w:r>
        <w:rPr>
          <w:rFonts w:ascii="宋体" w:hAnsi="宋体" w:eastAsia="宋体"/>
          <w:sz w:val="24"/>
        </w:rPr>
        <w:t>内存不小于4GB；硬盘不</w:t>
      </w:r>
      <w:r>
        <w:rPr>
          <w:rFonts w:hint="eastAsia" w:ascii="宋体" w:hAnsi="宋体" w:eastAsia="宋体"/>
          <w:sz w:val="24"/>
        </w:rPr>
        <w:t>小于1000GB</w:t>
      </w:r>
      <w:r>
        <w:rPr>
          <w:rFonts w:ascii="宋体" w:hAnsi="宋体" w:eastAsia="宋体"/>
          <w:sz w:val="24"/>
        </w:rPr>
        <w:t>；</w:t>
      </w:r>
    </w:p>
    <w:p>
      <w:pPr>
        <w:spacing w:line="360" w:lineRule="auto"/>
        <w:jc w:val="left"/>
        <w:rPr>
          <w:rFonts w:ascii="宋体" w:hAnsi="宋体" w:eastAsia="宋体"/>
          <w:sz w:val="24"/>
        </w:rPr>
      </w:pPr>
      <w:r>
        <w:rPr>
          <w:rFonts w:ascii="宋体" w:hAnsi="宋体" w:eastAsia="宋体"/>
          <w:sz w:val="24"/>
        </w:rPr>
        <w:t>（4）系统具有良好的扩展型，满足未来增加</w:t>
      </w:r>
      <w:r>
        <w:rPr>
          <w:rFonts w:hint="eastAsia" w:ascii="宋体" w:hAnsi="宋体" w:eastAsia="宋体"/>
          <w:sz w:val="24"/>
        </w:rPr>
        <w:t>2</w:t>
      </w:r>
      <w:r>
        <w:rPr>
          <w:rFonts w:ascii="宋体" w:hAnsi="宋体" w:eastAsia="宋体"/>
          <w:sz w:val="24"/>
        </w:rPr>
        <w:t>-</w:t>
      </w:r>
      <w:r>
        <w:rPr>
          <w:rFonts w:hint="eastAsia" w:ascii="宋体" w:hAnsi="宋体" w:eastAsia="宋体"/>
          <w:sz w:val="24"/>
        </w:rPr>
        <w:t>3</w:t>
      </w:r>
      <w:r>
        <w:rPr>
          <w:rFonts w:ascii="宋体" w:hAnsi="宋体" w:eastAsia="宋体"/>
          <w:sz w:val="24"/>
        </w:rPr>
        <w:t>台仪表的需要，不需要重新增加新系统的投入</w:t>
      </w:r>
      <w:r>
        <w:rPr>
          <w:rFonts w:hint="eastAsia" w:ascii="宋体" w:hAnsi="宋体" w:eastAsia="宋体"/>
          <w:sz w:val="24"/>
        </w:rPr>
        <w:t>；</w:t>
      </w:r>
    </w:p>
    <w:p>
      <w:pPr>
        <w:spacing w:line="360" w:lineRule="auto"/>
        <w:jc w:val="left"/>
        <w:rPr>
          <w:rFonts w:ascii="宋体" w:hAnsi="宋体" w:eastAsia="宋体"/>
          <w:sz w:val="24"/>
        </w:rPr>
      </w:pPr>
      <w:r>
        <w:rPr>
          <w:rFonts w:ascii="宋体" w:hAnsi="宋体" w:eastAsia="宋体"/>
          <w:sz w:val="24"/>
        </w:rPr>
        <w:t>（5）所有仪表与服务器通讯均采用数字通讯方式，服务器串口不少于8个（含扩展）；</w:t>
      </w:r>
    </w:p>
    <w:p>
      <w:pPr>
        <w:spacing w:line="360" w:lineRule="auto"/>
        <w:jc w:val="left"/>
        <w:rPr>
          <w:rFonts w:ascii="宋体" w:hAnsi="宋体" w:eastAsia="宋体"/>
          <w:sz w:val="24"/>
        </w:rPr>
      </w:pPr>
      <w:r>
        <w:rPr>
          <w:rFonts w:ascii="宋体" w:hAnsi="宋体" w:eastAsia="宋体"/>
          <w:sz w:val="24"/>
        </w:rPr>
        <w:t>（6）系统的控制单元应具有系统控制、数据采集、贮存及传输功能</w:t>
      </w:r>
      <w:r>
        <w:rPr>
          <w:rFonts w:hint="eastAsia" w:ascii="宋体" w:hAnsi="宋体" w:eastAsia="宋体"/>
          <w:sz w:val="24"/>
        </w:rPr>
        <w:t>，</w:t>
      </w:r>
      <w:r>
        <w:rPr>
          <w:rFonts w:ascii="宋体" w:hAnsi="宋体" w:eastAsia="宋体"/>
          <w:sz w:val="24"/>
        </w:rPr>
        <w:t>控制单元应具有在系统断电或断水时的保护性操作和自动恢复功能</w:t>
      </w:r>
      <w:r>
        <w:rPr>
          <w:rFonts w:hint="eastAsia" w:ascii="宋体" w:hAnsi="宋体" w:eastAsia="宋体"/>
          <w:sz w:val="24"/>
        </w:rPr>
        <w:t>；</w:t>
      </w:r>
    </w:p>
    <w:p>
      <w:pPr>
        <w:spacing w:line="360" w:lineRule="auto"/>
        <w:jc w:val="left"/>
        <w:rPr>
          <w:rFonts w:ascii="宋体" w:hAnsi="宋体" w:eastAsia="宋体"/>
          <w:sz w:val="24"/>
        </w:rPr>
      </w:pPr>
      <w:r>
        <w:rPr>
          <w:rFonts w:ascii="宋体" w:hAnsi="宋体" w:eastAsia="宋体"/>
          <w:sz w:val="24"/>
        </w:rPr>
        <w:t>（7）服务器可通过有线或无线方式向中心监控平台发送数据，可同时支持2种以上数采仪采集数据。</w:t>
      </w:r>
    </w:p>
    <w:p>
      <w:pPr>
        <w:spacing w:line="360" w:lineRule="auto"/>
        <w:outlineLvl w:val="4"/>
        <w:rPr>
          <w:rFonts w:ascii="宋体" w:hAnsi="宋体" w:eastAsia="宋体"/>
          <w:b/>
          <w:sz w:val="24"/>
        </w:rPr>
      </w:pPr>
      <w:r>
        <w:rPr>
          <w:rFonts w:ascii="宋体" w:hAnsi="宋体" w:eastAsia="宋体"/>
          <w:b/>
          <w:sz w:val="24"/>
        </w:rPr>
        <w:t>4、数据采集与传输</w:t>
      </w:r>
    </w:p>
    <w:p>
      <w:pPr>
        <w:tabs>
          <w:tab w:val="left" w:pos="1260"/>
        </w:tabs>
        <w:spacing w:line="360" w:lineRule="auto"/>
        <w:rPr>
          <w:rFonts w:ascii="宋体" w:hAnsi="宋体" w:eastAsia="宋体"/>
          <w:sz w:val="24"/>
        </w:rPr>
      </w:pPr>
      <w:r>
        <w:rPr>
          <w:rFonts w:ascii="宋体" w:hAnsi="宋体" w:eastAsia="宋体"/>
          <w:sz w:val="24"/>
        </w:rPr>
        <w:t>（1）数据采集与传输应完整、准确、可靠，采集值与测量值误差≤1%</w:t>
      </w:r>
      <w:r>
        <w:rPr>
          <w:rFonts w:hint="eastAsia" w:ascii="宋体" w:hAnsi="宋体" w:eastAsia="宋体"/>
          <w:sz w:val="24"/>
        </w:rPr>
        <w:t>；</w:t>
      </w:r>
    </w:p>
    <w:p>
      <w:pPr>
        <w:pStyle w:val="66"/>
        <w:spacing w:after="0" w:line="360" w:lineRule="auto"/>
        <w:rPr>
          <w:rFonts w:ascii="宋体" w:hAnsi="宋体"/>
          <w:sz w:val="24"/>
          <w:szCs w:val="24"/>
        </w:rPr>
      </w:pPr>
      <w:r>
        <w:rPr>
          <w:rFonts w:ascii="宋体" w:hAnsi="宋体"/>
          <w:sz w:val="24"/>
          <w:szCs w:val="24"/>
        </w:rPr>
        <w:t>（2）通过规定的数字通讯接口采集监测仪器实时数据并存储，数据采集装置以无线</w:t>
      </w:r>
      <w:r>
        <w:rPr>
          <w:rFonts w:hint="eastAsia" w:ascii="宋体" w:hAnsi="宋体"/>
          <w:sz w:val="24"/>
          <w:szCs w:val="24"/>
        </w:rPr>
        <w:t>或</w:t>
      </w:r>
      <w:r>
        <w:rPr>
          <w:rFonts w:ascii="宋体" w:hAnsi="宋体"/>
          <w:sz w:val="24"/>
          <w:szCs w:val="24"/>
        </w:rPr>
        <w:t>有线传输方式进行数据传输</w:t>
      </w:r>
      <w:r>
        <w:rPr>
          <w:rFonts w:hint="eastAsia" w:ascii="宋体" w:hAnsi="宋体"/>
          <w:sz w:val="24"/>
          <w:szCs w:val="24"/>
        </w:rPr>
        <w:t>；</w:t>
      </w:r>
    </w:p>
    <w:p>
      <w:pPr>
        <w:tabs>
          <w:tab w:val="left" w:pos="1260"/>
        </w:tabs>
        <w:spacing w:line="360" w:lineRule="auto"/>
        <w:rPr>
          <w:rFonts w:ascii="宋体" w:hAnsi="宋体" w:eastAsia="宋体"/>
          <w:sz w:val="24"/>
        </w:rPr>
      </w:pPr>
      <w:r>
        <w:rPr>
          <w:rFonts w:ascii="宋体" w:hAnsi="宋体" w:eastAsia="宋体"/>
          <w:sz w:val="24"/>
        </w:rPr>
        <w:t>（3）现场可动态显示系统的实时状态，实时数据，历史报表和历史报警</w:t>
      </w:r>
      <w:r>
        <w:rPr>
          <w:rFonts w:hint="eastAsia" w:ascii="宋体" w:hAnsi="宋体" w:eastAsia="宋体"/>
          <w:sz w:val="24"/>
        </w:rPr>
        <w:t>；</w:t>
      </w:r>
    </w:p>
    <w:p>
      <w:pPr>
        <w:tabs>
          <w:tab w:val="left" w:pos="1260"/>
        </w:tabs>
        <w:spacing w:line="360" w:lineRule="auto"/>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）测量数据及实时状态的查询功能，按需要进行各种方式的数据查询</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w:t>
      </w:r>
      <w:r>
        <w:rPr>
          <w:rFonts w:hint="eastAsia" w:ascii="宋体" w:hAnsi="宋体" w:eastAsia="宋体"/>
          <w:sz w:val="24"/>
        </w:rPr>
        <w:t>5</w:t>
      </w:r>
      <w:r>
        <w:rPr>
          <w:rFonts w:ascii="宋体" w:hAnsi="宋体" w:eastAsia="宋体"/>
          <w:sz w:val="24"/>
        </w:rPr>
        <w:t>）子站断电后数据至少保存30天，并能储存365天以上的原始数据，同时保存相应时期发生的有关校准、断电及其它事件记录。</w:t>
      </w:r>
    </w:p>
    <w:p>
      <w:pPr>
        <w:spacing w:line="360" w:lineRule="auto"/>
        <w:rPr>
          <w:rFonts w:ascii="宋体" w:hAnsi="宋体" w:eastAsia="宋体"/>
          <w:b/>
          <w:sz w:val="28"/>
          <w:szCs w:val="28"/>
        </w:rPr>
      </w:pPr>
      <w:r>
        <w:rPr>
          <w:rFonts w:hint="eastAsia" w:ascii="宋体" w:hAnsi="宋体" w:eastAsia="宋体"/>
          <w:b/>
          <w:sz w:val="28"/>
          <w:szCs w:val="28"/>
        </w:rPr>
        <w:t>（五）监控软件平台</w:t>
      </w:r>
    </w:p>
    <w:p>
      <w:pPr>
        <w:tabs>
          <w:tab w:val="left" w:pos="1260"/>
        </w:tabs>
        <w:spacing w:line="360" w:lineRule="auto"/>
        <w:ind w:firstLine="480" w:firstLineChars="200"/>
        <w:rPr>
          <w:rFonts w:ascii="宋体" w:hAnsi="宋体" w:eastAsia="宋体"/>
          <w:sz w:val="24"/>
        </w:rPr>
      </w:pPr>
      <w:r>
        <w:rPr>
          <w:rFonts w:hint="eastAsia" w:ascii="宋体" w:hAnsi="宋体" w:eastAsia="宋体"/>
          <w:sz w:val="24"/>
        </w:rPr>
        <w:t>要有独立运行的监控平台，能部署到济南政务云计算中心，对中标的国标法小型站进行管理，平台要有数据查询、统计分析、两率统计、预警报警、数据审核、各种报表制作、故障情况上报等功能，数据和视频能无条件传输到</w:t>
      </w:r>
      <w:r>
        <w:rPr>
          <w:rFonts w:ascii="宋体" w:hAnsi="宋体" w:eastAsia="宋体"/>
          <w:sz w:val="24"/>
        </w:rPr>
        <w:t>济南市</w:t>
      </w:r>
      <w:r>
        <w:rPr>
          <w:rFonts w:hint="eastAsia" w:ascii="宋体" w:hAnsi="宋体" w:eastAsia="宋体"/>
          <w:sz w:val="24"/>
        </w:rPr>
        <w:t>智慧环保大平台、济南环境App</w:t>
      </w:r>
      <w:r>
        <w:rPr>
          <w:rFonts w:ascii="宋体" w:hAnsi="宋体" w:eastAsia="宋体"/>
          <w:sz w:val="24"/>
        </w:rPr>
        <w:t>和终端数据库，并能对各级控制中心进行权限设置</w:t>
      </w:r>
      <w:r>
        <w:rPr>
          <w:rFonts w:hint="eastAsia" w:ascii="宋体" w:hAnsi="宋体" w:eastAsia="宋体"/>
          <w:sz w:val="24"/>
        </w:rPr>
        <w:t>。</w:t>
      </w:r>
    </w:p>
    <w:p>
      <w:pPr>
        <w:spacing w:line="360" w:lineRule="auto"/>
        <w:outlineLvl w:val="2"/>
        <w:rPr>
          <w:rFonts w:ascii="宋体" w:hAnsi="宋体" w:eastAsia="宋体"/>
          <w:b/>
          <w:sz w:val="30"/>
          <w:szCs w:val="30"/>
        </w:rPr>
      </w:pPr>
      <w:r>
        <w:rPr>
          <w:rFonts w:hint="eastAsia" w:ascii="宋体" w:hAnsi="宋体" w:eastAsia="宋体"/>
          <w:b/>
          <w:sz w:val="30"/>
          <w:szCs w:val="30"/>
        </w:rPr>
        <w:t>五</w:t>
      </w:r>
      <w:r>
        <w:rPr>
          <w:rFonts w:ascii="宋体" w:hAnsi="宋体" w:eastAsia="宋体"/>
          <w:b/>
          <w:sz w:val="30"/>
          <w:szCs w:val="30"/>
        </w:rPr>
        <w:t>、系统运行</w:t>
      </w:r>
      <w:r>
        <w:rPr>
          <w:rFonts w:hint="eastAsia" w:ascii="宋体" w:hAnsi="宋体" w:eastAsia="宋体"/>
          <w:b/>
          <w:sz w:val="30"/>
          <w:szCs w:val="30"/>
        </w:rPr>
        <w:t>技术要求</w:t>
      </w:r>
    </w:p>
    <w:p>
      <w:pPr>
        <w:numPr>
          <w:ilvl w:val="0"/>
          <w:numId w:val="13"/>
        </w:numPr>
        <w:spacing w:line="360" w:lineRule="auto"/>
        <w:rPr>
          <w:rFonts w:ascii="宋体" w:hAnsi="宋体" w:eastAsia="宋体"/>
          <w:sz w:val="24"/>
        </w:rPr>
      </w:pPr>
      <w:r>
        <w:rPr>
          <w:rFonts w:ascii="宋体" w:hAnsi="宋体" w:eastAsia="宋体"/>
          <w:sz w:val="24"/>
        </w:rPr>
        <w:t>现场自动控制运行，实现无人值守。包括采、配水单元、管路清洗单元的运行自动控制，以及仪器校准和同步启动等的自动控制。系统全自动稳定运行，每4个小时进行一次监测，也可根据实际情况进行周期调整，</w:t>
      </w:r>
      <w:r>
        <w:rPr>
          <w:rFonts w:hint="eastAsia" w:ascii="宋体" w:hAnsi="宋体" w:eastAsia="宋体"/>
          <w:sz w:val="24"/>
        </w:rPr>
        <w:t>具备1个小时1次的监测能力，</w:t>
      </w:r>
      <w:r>
        <w:rPr>
          <w:rFonts w:ascii="宋体" w:hAnsi="宋体" w:eastAsia="宋体"/>
          <w:sz w:val="24"/>
        </w:rPr>
        <w:t>满足现场检测的需要</w:t>
      </w:r>
      <w:r>
        <w:rPr>
          <w:rFonts w:hint="eastAsia" w:ascii="宋体" w:hAnsi="宋体" w:eastAsia="宋体"/>
          <w:sz w:val="24"/>
        </w:rPr>
        <w:t>；</w:t>
      </w:r>
    </w:p>
    <w:p>
      <w:pPr>
        <w:numPr>
          <w:ilvl w:val="0"/>
          <w:numId w:val="13"/>
        </w:numPr>
        <w:spacing w:line="360" w:lineRule="auto"/>
        <w:rPr>
          <w:rFonts w:ascii="宋体" w:hAnsi="宋体" w:eastAsia="宋体"/>
          <w:sz w:val="24"/>
        </w:rPr>
      </w:pPr>
      <w:r>
        <w:rPr>
          <w:rFonts w:ascii="宋体" w:hAnsi="宋体" w:eastAsia="宋体"/>
          <w:sz w:val="24"/>
        </w:rPr>
        <w:t>系统功率能耗较低，满足野外监测的需要</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3、监控现场各设备状态，并以图形化的界面显示其运行状态，同时能够对数据采集和控制单元的参数进行设置</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4、可设置系统的采样周期（</w:t>
      </w:r>
      <w:r>
        <w:rPr>
          <w:rFonts w:hint="eastAsia" w:ascii="宋体" w:hAnsi="宋体" w:eastAsia="宋体"/>
          <w:sz w:val="24"/>
        </w:rPr>
        <w:t>2</w:t>
      </w:r>
      <w:r>
        <w:rPr>
          <w:rFonts w:ascii="宋体" w:hAnsi="宋体" w:eastAsia="宋体"/>
          <w:sz w:val="24"/>
        </w:rPr>
        <w:t>-24次/天），可调节连续、间歇或紧急取样等多种方式</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5、各单元设备工作状态参数的显示</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6、系统与仪器可进行时间同步，确保中心站软件、子站控制系统、仪器三者的时间一致。实时显示各仪器的状态、当前监测值等</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7、系统的自动启动和自动恢复功能</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8、对系统自动清洗、实时通讯、数据处理等功能和各单元设备控制参数的远程控制</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9、数据自动采集、处理及传输，中心站可到数据库中下载实时或历史数据</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10、系统设置具有开放性，可根据需要自行设置有关参数，系统具有良好的扩展性</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11、系统采用基于PC/PLC的可编程逻辑控制器，PLC通过串口与工控机连接，由PLC控制管路、继电器、采集各种设备的模拟信号等，具有系统断电、断水时的保护性操作与自动恢复功能，且PLC可通过增加模块来扩展输入输出点。</w:t>
      </w:r>
    </w:p>
    <w:p>
      <w:pPr>
        <w:spacing w:line="360" w:lineRule="auto"/>
        <w:outlineLvl w:val="2"/>
        <w:rPr>
          <w:rFonts w:ascii="宋体" w:hAnsi="宋体" w:eastAsia="宋体"/>
          <w:b/>
          <w:sz w:val="30"/>
          <w:szCs w:val="30"/>
        </w:rPr>
      </w:pPr>
      <w:r>
        <w:rPr>
          <w:rFonts w:hint="eastAsia" w:ascii="宋体" w:hAnsi="宋体" w:eastAsia="宋体"/>
          <w:b/>
          <w:sz w:val="30"/>
          <w:szCs w:val="30"/>
        </w:rPr>
        <w:t>六</w:t>
      </w:r>
      <w:r>
        <w:rPr>
          <w:rFonts w:ascii="宋体" w:hAnsi="宋体" w:eastAsia="宋体"/>
          <w:b/>
          <w:sz w:val="30"/>
          <w:szCs w:val="30"/>
        </w:rPr>
        <w:t>、</w:t>
      </w:r>
      <w:r>
        <w:rPr>
          <w:rFonts w:hint="eastAsia" w:ascii="宋体" w:hAnsi="宋体" w:eastAsia="宋体"/>
          <w:b/>
          <w:sz w:val="30"/>
          <w:szCs w:val="30"/>
        </w:rPr>
        <w:t>系统</w:t>
      </w:r>
      <w:r>
        <w:rPr>
          <w:rFonts w:ascii="宋体" w:hAnsi="宋体" w:eastAsia="宋体"/>
          <w:b/>
          <w:sz w:val="30"/>
          <w:szCs w:val="30"/>
        </w:rPr>
        <w:t>质量保证</w:t>
      </w:r>
    </w:p>
    <w:p>
      <w:pPr>
        <w:spacing w:line="360" w:lineRule="auto"/>
        <w:outlineLvl w:val="3"/>
        <w:rPr>
          <w:rFonts w:ascii="宋体" w:hAnsi="宋体" w:eastAsia="宋体"/>
          <w:b/>
          <w:sz w:val="28"/>
          <w:szCs w:val="28"/>
        </w:rPr>
      </w:pPr>
      <w:r>
        <w:rPr>
          <w:rFonts w:ascii="宋体" w:hAnsi="宋体" w:eastAsia="宋体"/>
          <w:b/>
          <w:sz w:val="28"/>
          <w:szCs w:val="28"/>
        </w:rPr>
        <w:t>（一）、</w:t>
      </w:r>
      <w:r>
        <w:rPr>
          <w:rFonts w:hint="eastAsia" w:ascii="宋体" w:hAnsi="宋体" w:eastAsia="宋体"/>
          <w:b/>
          <w:sz w:val="28"/>
          <w:szCs w:val="28"/>
        </w:rPr>
        <w:t>柜式站房、设备和系统集成安装</w:t>
      </w:r>
      <w:r>
        <w:rPr>
          <w:rFonts w:ascii="宋体" w:hAnsi="宋体" w:eastAsia="宋体"/>
          <w:b/>
          <w:sz w:val="28"/>
          <w:szCs w:val="28"/>
        </w:rPr>
        <w:t>的质量保证</w:t>
      </w:r>
    </w:p>
    <w:p>
      <w:pPr>
        <w:tabs>
          <w:tab w:val="left" w:pos="840"/>
        </w:tabs>
        <w:spacing w:line="360" w:lineRule="auto"/>
        <w:rPr>
          <w:rFonts w:ascii="宋体" w:hAnsi="宋体" w:eastAsia="宋体"/>
          <w:b/>
          <w:sz w:val="24"/>
        </w:rPr>
      </w:pPr>
      <w:r>
        <w:rPr>
          <w:rFonts w:hint="eastAsia" w:ascii="宋体" w:hAnsi="宋体" w:eastAsia="宋体"/>
          <w:b/>
          <w:sz w:val="24"/>
        </w:rPr>
        <w:t>1、柜式站房</w:t>
      </w:r>
    </w:p>
    <w:p>
      <w:pPr>
        <w:tabs>
          <w:tab w:val="left" w:pos="840"/>
        </w:tabs>
        <w:spacing w:line="360" w:lineRule="auto"/>
        <w:ind w:firstLine="480" w:firstLineChars="200"/>
        <w:rPr>
          <w:rFonts w:ascii="宋体" w:hAnsi="宋体" w:eastAsia="宋体"/>
          <w:sz w:val="24"/>
        </w:rPr>
      </w:pPr>
      <w:r>
        <w:rPr>
          <w:rFonts w:hint="eastAsia" w:ascii="宋体" w:hAnsi="宋体" w:eastAsia="宋体"/>
          <w:sz w:val="24"/>
        </w:rPr>
        <w:t>按照技术要求建设柜式站房，配置相应的</w:t>
      </w:r>
      <w:r>
        <w:rPr>
          <w:rFonts w:ascii="宋体" w:hAnsi="宋体" w:eastAsia="宋体"/>
          <w:sz w:val="24"/>
        </w:rPr>
        <w:t>辅助设备及系统安全保障设施</w:t>
      </w:r>
      <w:r>
        <w:rPr>
          <w:rFonts w:hint="eastAsia" w:ascii="宋体" w:hAnsi="宋体" w:eastAsia="宋体"/>
          <w:sz w:val="24"/>
        </w:rPr>
        <w:t>。</w:t>
      </w:r>
    </w:p>
    <w:p>
      <w:pPr>
        <w:tabs>
          <w:tab w:val="left" w:pos="840"/>
        </w:tabs>
        <w:spacing w:line="360" w:lineRule="auto"/>
        <w:rPr>
          <w:rFonts w:ascii="宋体" w:hAnsi="宋体" w:eastAsia="宋体"/>
          <w:b/>
          <w:sz w:val="24"/>
        </w:rPr>
      </w:pPr>
      <w:r>
        <w:rPr>
          <w:rFonts w:hint="eastAsia" w:ascii="宋体" w:hAnsi="宋体" w:eastAsia="宋体"/>
          <w:b/>
          <w:sz w:val="24"/>
        </w:rPr>
        <w:t>2、</w:t>
      </w:r>
      <w:r>
        <w:rPr>
          <w:rFonts w:hint="eastAsia" w:ascii="宋体" w:hAnsi="宋体" w:eastAsia="宋体"/>
          <w:b/>
          <w:bCs/>
          <w:sz w:val="24"/>
        </w:rPr>
        <w:t>设备和系统集成安装</w:t>
      </w:r>
      <w:r>
        <w:rPr>
          <w:rFonts w:ascii="宋体" w:hAnsi="宋体" w:eastAsia="宋体"/>
          <w:b/>
          <w:bCs/>
          <w:sz w:val="24"/>
        </w:rPr>
        <w:t>的质量保证</w:t>
      </w:r>
    </w:p>
    <w:p>
      <w:pPr>
        <w:tabs>
          <w:tab w:val="left" w:pos="840"/>
        </w:tabs>
        <w:spacing w:line="360" w:lineRule="auto"/>
        <w:ind w:firstLine="480" w:firstLineChars="200"/>
        <w:rPr>
          <w:rFonts w:ascii="宋体" w:hAnsi="宋体" w:eastAsia="宋体"/>
          <w:sz w:val="24"/>
        </w:rPr>
      </w:pPr>
      <w:r>
        <w:rPr>
          <w:rFonts w:ascii="宋体" w:hAnsi="宋体" w:eastAsia="宋体"/>
          <w:sz w:val="24"/>
        </w:rPr>
        <w:t>为确保</w:t>
      </w:r>
      <w:r>
        <w:rPr>
          <w:rFonts w:hint="eastAsia" w:ascii="宋体" w:hAnsi="宋体" w:eastAsia="宋体"/>
          <w:sz w:val="24"/>
        </w:rPr>
        <w:t>设备和系统集成</w:t>
      </w:r>
      <w:r>
        <w:rPr>
          <w:rFonts w:ascii="宋体" w:hAnsi="宋体" w:eastAsia="宋体"/>
          <w:sz w:val="24"/>
        </w:rPr>
        <w:t>高质量</w:t>
      </w:r>
      <w:r>
        <w:rPr>
          <w:rFonts w:hint="eastAsia" w:ascii="宋体" w:hAnsi="宋体" w:eastAsia="宋体"/>
          <w:sz w:val="24"/>
        </w:rPr>
        <w:t>安装</w:t>
      </w:r>
      <w:r>
        <w:rPr>
          <w:rFonts w:ascii="宋体" w:hAnsi="宋体" w:eastAsia="宋体"/>
          <w:sz w:val="24"/>
        </w:rPr>
        <w:t>，投标人应制定有关</w:t>
      </w:r>
      <w:r>
        <w:rPr>
          <w:rFonts w:hint="eastAsia" w:ascii="宋体" w:hAnsi="宋体" w:eastAsia="宋体"/>
          <w:sz w:val="24"/>
        </w:rPr>
        <w:t>安装</w:t>
      </w:r>
      <w:r>
        <w:rPr>
          <w:rFonts w:ascii="宋体" w:hAnsi="宋体" w:eastAsia="宋体"/>
          <w:sz w:val="24"/>
        </w:rPr>
        <w:t>期间的质量保证计划，包括系统设计与施工规范化管理、仪器设备质量保证、技术人员资质及管理等。投标人必须提供详细的项目管理组织构架、职员姓名、职务、职称，主要资历、经验及承担过的主要项目情况。</w:t>
      </w:r>
    </w:p>
    <w:p>
      <w:pPr>
        <w:spacing w:line="360" w:lineRule="auto"/>
        <w:outlineLvl w:val="3"/>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二</w:t>
      </w:r>
      <w:r>
        <w:rPr>
          <w:rFonts w:ascii="宋体" w:hAnsi="宋体" w:eastAsia="宋体"/>
          <w:b/>
          <w:sz w:val="28"/>
          <w:szCs w:val="28"/>
        </w:rPr>
        <w:t>）、供货及投入正常运转的时限要求</w:t>
      </w:r>
    </w:p>
    <w:p>
      <w:pPr>
        <w:spacing w:line="360" w:lineRule="auto"/>
        <w:ind w:firstLine="480" w:firstLineChars="200"/>
        <w:rPr>
          <w:rFonts w:ascii="宋体" w:hAnsi="宋体" w:eastAsia="宋体"/>
          <w:sz w:val="24"/>
        </w:rPr>
      </w:pPr>
      <w:r>
        <w:rPr>
          <w:rFonts w:ascii="宋体" w:hAnsi="宋体" w:eastAsia="宋体"/>
          <w:sz w:val="24"/>
        </w:rPr>
        <w:t>合同签订后</w:t>
      </w:r>
      <w:r>
        <w:rPr>
          <w:rFonts w:hint="eastAsia" w:ascii="宋体" w:hAnsi="宋体" w:eastAsia="宋体"/>
          <w:sz w:val="24"/>
        </w:rPr>
        <w:t>60</w:t>
      </w:r>
      <w:r>
        <w:rPr>
          <w:rFonts w:ascii="宋体" w:hAnsi="宋体" w:eastAsia="宋体"/>
          <w:sz w:val="24"/>
        </w:rPr>
        <w:t>天内安装调试完毕</w:t>
      </w:r>
      <w:r>
        <w:rPr>
          <w:rFonts w:hint="eastAsia" w:ascii="宋体" w:hAnsi="宋体" w:eastAsia="宋体"/>
          <w:sz w:val="24"/>
        </w:rPr>
        <w:t>。设备安装</w:t>
      </w:r>
      <w:r>
        <w:rPr>
          <w:rFonts w:ascii="宋体" w:hAnsi="宋体" w:eastAsia="宋体"/>
          <w:sz w:val="24"/>
        </w:rPr>
        <w:t>调试</w:t>
      </w:r>
      <w:r>
        <w:rPr>
          <w:rFonts w:hint="eastAsia" w:ascii="宋体" w:hAnsi="宋体" w:eastAsia="宋体"/>
          <w:sz w:val="24"/>
        </w:rPr>
        <w:t>完毕后，中标商立即组织验收，投入正式运行。</w:t>
      </w:r>
    </w:p>
    <w:p>
      <w:pPr>
        <w:spacing w:line="360" w:lineRule="auto"/>
        <w:outlineLvl w:val="3"/>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三</w:t>
      </w:r>
      <w:r>
        <w:rPr>
          <w:rFonts w:ascii="宋体" w:hAnsi="宋体" w:eastAsia="宋体"/>
          <w:b/>
          <w:sz w:val="28"/>
          <w:szCs w:val="28"/>
        </w:rPr>
        <w:t>）、验收办法</w:t>
      </w:r>
    </w:p>
    <w:p>
      <w:pPr>
        <w:spacing w:line="360" w:lineRule="auto"/>
        <w:ind w:firstLine="480" w:firstLineChars="200"/>
        <w:rPr>
          <w:rFonts w:ascii="宋体" w:hAnsi="宋体" w:eastAsia="宋体"/>
          <w:sz w:val="24"/>
        </w:rPr>
      </w:pPr>
      <w:r>
        <w:rPr>
          <w:rFonts w:ascii="宋体" w:hAnsi="宋体" w:eastAsia="宋体"/>
          <w:sz w:val="24"/>
        </w:rPr>
        <w:t>系统验收由济南市</w:t>
      </w:r>
      <w:r>
        <w:rPr>
          <w:rFonts w:hint="eastAsia" w:ascii="宋体" w:hAnsi="宋体" w:eastAsia="宋体"/>
          <w:sz w:val="24"/>
        </w:rPr>
        <w:t>生态环境局</w:t>
      </w:r>
      <w:r>
        <w:rPr>
          <w:rFonts w:ascii="宋体" w:hAnsi="宋体" w:eastAsia="宋体"/>
          <w:sz w:val="24"/>
        </w:rPr>
        <w:t>组织有关人员</w:t>
      </w:r>
      <w:r>
        <w:rPr>
          <w:rFonts w:hint="eastAsia" w:ascii="宋体" w:hAnsi="宋体" w:eastAsia="宋体"/>
          <w:sz w:val="24"/>
        </w:rPr>
        <w:t>参</w:t>
      </w:r>
      <w:r>
        <w:rPr>
          <w:rFonts w:ascii="宋体" w:hAnsi="宋体" w:eastAsia="宋体"/>
          <w:sz w:val="24"/>
        </w:rPr>
        <w:t>照</w:t>
      </w:r>
      <w:r>
        <w:rPr>
          <w:rFonts w:hint="eastAsia" w:ascii="宋体" w:hAnsi="宋体" w:eastAsia="宋体"/>
          <w:sz w:val="24"/>
        </w:rPr>
        <w:t>国家水站验收要求</w:t>
      </w:r>
      <w:r>
        <w:rPr>
          <w:rFonts w:ascii="宋体" w:hAnsi="宋体" w:eastAsia="宋体"/>
          <w:sz w:val="24"/>
        </w:rPr>
        <w:t>、</w:t>
      </w:r>
      <w:r>
        <w:rPr>
          <w:rFonts w:hint="eastAsia" w:ascii="宋体" w:hAnsi="宋体" w:eastAsia="宋体"/>
          <w:sz w:val="24"/>
        </w:rPr>
        <w:t>国家《地表水水质自动监测站安装验收技术规范》（试行）、《</w:t>
      </w:r>
      <w:r>
        <w:rPr>
          <w:rFonts w:ascii="宋体" w:hAnsi="宋体" w:eastAsia="宋体"/>
          <w:kern w:val="0"/>
          <w:sz w:val="24"/>
        </w:rPr>
        <w:t>地表水自动监测技术规范》</w:t>
      </w:r>
      <w:r>
        <w:rPr>
          <w:rFonts w:hint="eastAsia" w:ascii="宋体" w:hAnsi="宋体" w:eastAsia="宋体"/>
          <w:sz w:val="24"/>
        </w:rPr>
        <w:t>（</w:t>
      </w:r>
      <w:r>
        <w:rPr>
          <w:rFonts w:ascii="宋体" w:hAnsi="宋体" w:eastAsia="宋体"/>
          <w:kern w:val="0"/>
          <w:sz w:val="24"/>
        </w:rPr>
        <w:t>HJ 915-2017</w:t>
      </w:r>
      <w:r>
        <w:rPr>
          <w:rFonts w:hint="eastAsia" w:ascii="宋体" w:hAnsi="宋体" w:eastAsia="宋体"/>
          <w:sz w:val="24"/>
        </w:rPr>
        <w:t>）、</w:t>
      </w:r>
      <w:r>
        <w:rPr>
          <w:rFonts w:ascii="宋体" w:hAnsi="宋体" w:eastAsia="宋体"/>
          <w:sz w:val="24"/>
        </w:rPr>
        <w:t>本技术要求及合同内容进行验收。</w:t>
      </w:r>
    </w:p>
    <w:p>
      <w:pPr>
        <w:spacing w:line="360" w:lineRule="auto"/>
        <w:ind w:firstLine="480" w:firstLineChars="200"/>
        <w:rPr>
          <w:rFonts w:ascii="宋体" w:hAnsi="宋体" w:eastAsia="宋体"/>
          <w:sz w:val="24"/>
        </w:rPr>
      </w:pPr>
      <w:r>
        <w:rPr>
          <w:rFonts w:hint="eastAsia" w:ascii="宋体" w:hAnsi="宋体" w:eastAsia="宋体"/>
          <w:sz w:val="24"/>
        </w:rPr>
        <w:t>设备安装</w:t>
      </w:r>
      <w:r>
        <w:rPr>
          <w:rFonts w:ascii="宋体" w:hAnsi="宋体" w:eastAsia="宋体"/>
          <w:sz w:val="24"/>
        </w:rPr>
        <w:t>调试</w:t>
      </w:r>
      <w:r>
        <w:rPr>
          <w:rFonts w:hint="eastAsia" w:ascii="宋体" w:hAnsi="宋体" w:eastAsia="宋体"/>
          <w:sz w:val="24"/>
        </w:rPr>
        <w:t>完毕后，</w:t>
      </w:r>
      <w:r>
        <w:rPr>
          <w:rFonts w:ascii="宋体" w:hAnsi="宋体" w:eastAsia="宋体"/>
          <w:sz w:val="24"/>
        </w:rPr>
        <w:t>中标商</w:t>
      </w:r>
      <w:r>
        <w:rPr>
          <w:rFonts w:hint="eastAsia" w:ascii="宋体" w:hAnsi="宋体" w:eastAsia="宋体"/>
          <w:sz w:val="24"/>
        </w:rPr>
        <w:t>按照有关技术要求立即自行进行验收工作</w:t>
      </w:r>
      <w:r>
        <w:rPr>
          <w:rFonts w:ascii="宋体" w:hAnsi="宋体" w:eastAsia="宋体"/>
          <w:sz w:val="24"/>
        </w:rPr>
        <w:t>，</w:t>
      </w:r>
      <w:r>
        <w:rPr>
          <w:rFonts w:hint="eastAsia" w:ascii="宋体" w:hAnsi="宋体" w:eastAsia="宋体"/>
          <w:sz w:val="24"/>
        </w:rPr>
        <w:t>并出具有相关质量认可资质的验收报告。然后由</w:t>
      </w:r>
      <w:r>
        <w:rPr>
          <w:rFonts w:ascii="宋体" w:hAnsi="宋体" w:eastAsia="宋体"/>
          <w:sz w:val="24"/>
        </w:rPr>
        <w:t>济南市</w:t>
      </w:r>
      <w:r>
        <w:rPr>
          <w:rFonts w:hint="eastAsia" w:ascii="宋体" w:hAnsi="宋体" w:eastAsia="宋体"/>
          <w:sz w:val="24"/>
        </w:rPr>
        <w:t>生态环境</w:t>
      </w:r>
      <w:r>
        <w:rPr>
          <w:rFonts w:ascii="宋体" w:hAnsi="宋体" w:eastAsia="宋体"/>
          <w:sz w:val="24"/>
        </w:rPr>
        <w:t>局组织进行整体验收，相关费用由中标商承担。</w:t>
      </w:r>
    </w:p>
    <w:p>
      <w:pPr>
        <w:spacing w:line="360" w:lineRule="auto"/>
        <w:outlineLvl w:val="3"/>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四</w:t>
      </w:r>
      <w:r>
        <w:rPr>
          <w:rFonts w:ascii="宋体" w:hAnsi="宋体" w:eastAsia="宋体"/>
          <w:b/>
          <w:sz w:val="28"/>
          <w:szCs w:val="28"/>
        </w:rPr>
        <w:t>）、服务与技术支持</w:t>
      </w:r>
    </w:p>
    <w:p>
      <w:pPr>
        <w:spacing w:line="360" w:lineRule="auto"/>
        <w:rPr>
          <w:rFonts w:ascii="宋体" w:hAnsi="宋体" w:eastAsia="宋体"/>
          <w:sz w:val="24"/>
        </w:rPr>
      </w:pPr>
      <w:r>
        <w:rPr>
          <w:rFonts w:hint="eastAsia" w:ascii="宋体" w:hAnsi="宋体" w:eastAsia="宋体"/>
          <w:b/>
          <w:bCs/>
          <w:sz w:val="24"/>
        </w:rPr>
        <w:t>1.</w:t>
      </w:r>
      <w:r>
        <w:rPr>
          <w:rFonts w:hint="eastAsia" w:ascii="宋体" w:hAnsi="宋体" w:eastAsia="宋体"/>
          <w:sz w:val="24"/>
        </w:rPr>
        <w:t>中标商应在本地设置办事处，应配备至少2名中标水站运营人员、1辆运营车辆，</w:t>
      </w:r>
      <w:r>
        <w:rPr>
          <w:rFonts w:hint="eastAsia" w:ascii="宋体" w:hAnsi="宋体" w:eastAsia="宋体"/>
          <w:bCs/>
          <w:sz w:val="24"/>
        </w:rPr>
        <w:t>运营</w:t>
      </w:r>
      <w:r>
        <w:rPr>
          <w:rFonts w:ascii="宋体" w:hAnsi="宋体" w:eastAsia="宋体"/>
          <w:bCs/>
          <w:sz w:val="24"/>
        </w:rPr>
        <w:t>人员</w:t>
      </w:r>
      <w:r>
        <w:rPr>
          <w:rFonts w:hint="eastAsia" w:ascii="宋体" w:hAnsi="宋体" w:eastAsia="宋体"/>
          <w:sz w:val="24"/>
        </w:rPr>
        <w:t>持证上岗</w:t>
      </w:r>
      <w:r>
        <w:rPr>
          <w:rFonts w:ascii="宋体" w:hAnsi="宋体" w:eastAsia="宋体"/>
          <w:bCs/>
          <w:sz w:val="24"/>
        </w:rPr>
        <w:t>。</w:t>
      </w:r>
      <w:r>
        <w:rPr>
          <w:rFonts w:hint="eastAsia" w:ascii="宋体" w:hAnsi="宋体" w:eastAsia="宋体"/>
          <w:sz w:val="24"/>
        </w:rPr>
        <w:t>保证水站正常运行。如济南市生态环境局有需要，则中标商提供1名技术人员常驻济南市生态环境局，负责水站数据的日常监控、分析质控等有关工作。</w:t>
      </w:r>
    </w:p>
    <w:p>
      <w:pPr>
        <w:autoSpaceDE w:val="0"/>
        <w:autoSpaceDN w:val="0"/>
        <w:spacing w:line="360" w:lineRule="auto"/>
        <w:rPr>
          <w:rFonts w:ascii="宋体" w:hAnsi="宋体" w:eastAsia="宋体"/>
          <w:sz w:val="24"/>
        </w:rPr>
      </w:pPr>
      <w:r>
        <w:rPr>
          <w:rFonts w:hint="eastAsia" w:ascii="宋体" w:hAnsi="宋体" w:eastAsia="宋体"/>
          <w:sz w:val="24"/>
        </w:rPr>
        <w:t>2.服务内容</w:t>
      </w:r>
      <w:r>
        <w:rPr>
          <w:rFonts w:ascii="宋体" w:hAnsi="宋体" w:eastAsia="宋体"/>
          <w:sz w:val="24"/>
        </w:rPr>
        <w:t>包括</w:t>
      </w:r>
      <w:r>
        <w:rPr>
          <w:rFonts w:hint="eastAsia" w:ascii="宋体" w:hAnsi="宋体" w:eastAsia="宋体"/>
          <w:sz w:val="24"/>
        </w:rPr>
        <w:t>系统</w:t>
      </w:r>
      <w:r>
        <w:rPr>
          <w:rFonts w:ascii="宋体" w:hAnsi="宋体" w:eastAsia="宋体"/>
          <w:sz w:val="24"/>
        </w:rPr>
        <w:t>日常维护、保养、设备易损易耗品和零部件的购买更换、试剂配置、采水设施、供水管路、供电线路的维护</w:t>
      </w:r>
      <w:r>
        <w:rPr>
          <w:rFonts w:hint="eastAsia" w:ascii="宋体" w:hAnsi="宋体" w:eastAsia="宋体"/>
          <w:sz w:val="24"/>
        </w:rPr>
        <w:t>，</w:t>
      </w:r>
      <w:r>
        <w:rPr>
          <w:rFonts w:ascii="宋体" w:hAnsi="宋体" w:eastAsia="宋体"/>
          <w:sz w:val="24"/>
        </w:rPr>
        <w:t>站房防雷检测、站房安全、数据传输以及站房水、电费支出等的相关费用</w:t>
      </w:r>
      <w:r>
        <w:rPr>
          <w:rFonts w:hint="eastAsia" w:ascii="宋体" w:hAnsi="宋体" w:eastAsia="宋体"/>
          <w:sz w:val="24"/>
        </w:rPr>
        <w:t>，参照</w:t>
      </w:r>
      <w:r>
        <w:rPr>
          <w:rFonts w:ascii="宋体" w:hAnsi="宋体" w:eastAsia="宋体"/>
          <w:sz w:val="24"/>
        </w:rPr>
        <w:t>《地表水自动监测技术规范》</w:t>
      </w:r>
      <w:r>
        <w:rPr>
          <w:rFonts w:hint="eastAsia" w:ascii="宋体" w:hAnsi="宋体" w:eastAsia="宋体"/>
          <w:sz w:val="24"/>
        </w:rPr>
        <w:t>（</w:t>
      </w:r>
      <w:r>
        <w:rPr>
          <w:rFonts w:ascii="宋体" w:hAnsi="宋体" w:eastAsia="宋体"/>
          <w:sz w:val="24"/>
        </w:rPr>
        <w:t>HJ 915-2017</w:t>
      </w:r>
      <w:r>
        <w:rPr>
          <w:rFonts w:hint="eastAsia" w:ascii="宋体" w:hAnsi="宋体" w:eastAsia="宋体"/>
          <w:sz w:val="24"/>
        </w:rPr>
        <w:t>）、《地表水水质自动监测站运行维护技术规范》（试行）等、《国家地表水环境质量自动监测站运行管理办法》（2017年4月）相关要求执行，编制详细的运营记录表。</w:t>
      </w:r>
      <w:r>
        <w:rPr>
          <w:rFonts w:ascii="宋体" w:hAnsi="宋体" w:eastAsia="宋体"/>
          <w:sz w:val="24"/>
        </w:rPr>
        <w:t>中标商需保证10年内的耗材及备品备件的正常供应。</w:t>
      </w:r>
    </w:p>
    <w:p>
      <w:pPr>
        <w:autoSpaceDE w:val="0"/>
        <w:autoSpaceDN w:val="0"/>
        <w:spacing w:line="360" w:lineRule="auto"/>
        <w:rPr>
          <w:rFonts w:ascii="宋体" w:hAnsi="宋体" w:eastAsia="宋体"/>
          <w:sz w:val="24"/>
        </w:rPr>
      </w:pPr>
      <w:r>
        <w:rPr>
          <w:rFonts w:hint="eastAsia" w:ascii="宋体" w:hAnsi="宋体" w:eastAsia="宋体"/>
          <w:sz w:val="24"/>
        </w:rPr>
        <w:t>（1）中标商对自动监测设备提供数据的真实性、准确性、可靠性和连续性负责；确保设备运行率和数据准确率均达到</w:t>
      </w:r>
      <w:r>
        <w:rPr>
          <w:rFonts w:ascii="宋体" w:hAnsi="宋体" w:eastAsia="宋体"/>
          <w:sz w:val="24"/>
        </w:rPr>
        <w:t>9</w:t>
      </w:r>
      <w:r>
        <w:rPr>
          <w:rFonts w:hint="eastAsia" w:ascii="宋体" w:hAnsi="宋体" w:eastAsia="宋体"/>
          <w:sz w:val="24"/>
        </w:rPr>
        <w:t>0</w:t>
      </w:r>
      <w:r>
        <w:rPr>
          <w:rFonts w:ascii="宋体" w:hAnsi="宋体" w:eastAsia="宋体"/>
          <w:sz w:val="24"/>
        </w:rPr>
        <w:t>%</w:t>
      </w:r>
      <w:r>
        <w:rPr>
          <w:rFonts w:hint="eastAsia" w:ascii="宋体" w:hAnsi="宋体" w:eastAsia="宋体"/>
          <w:sz w:val="24"/>
        </w:rPr>
        <w:t>以上。</w:t>
      </w:r>
    </w:p>
    <w:p>
      <w:pPr>
        <w:autoSpaceDE w:val="0"/>
        <w:autoSpaceDN w:val="0"/>
        <w:spacing w:line="360" w:lineRule="auto"/>
        <w:rPr>
          <w:rFonts w:ascii="宋体" w:hAnsi="宋体" w:eastAsia="宋体"/>
          <w:sz w:val="24"/>
        </w:rPr>
      </w:pPr>
      <w:r>
        <w:rPr>
          <w:rFonts w:hint="eastAsia" w:ascii="宋体" w:hAnsi="宋体" w:eastAsia="宋体"/>
          <w:sz w:val="24"/>
        </w:rPr>
        <w:t>（2）</w:t>
      </w:r>
      <w:r>
        <w:rPr>
          <w:rFonts w:ascii="宋体" w:hAnsi="宋体" w:eastAsia="宋体"/>
          <w:sz w:val="24"/>
        </w:rPr>
        <w:t>每天至少</w:t>
      </w:r>
      <w:r>
        <w:rPr>
          <w:rFonts w:hint="eastAsia" w:ascii="宋体" w:hAnsi="宋体" w:eastAsia="宋体"/>
          <w:sz w:val="24"/>
        </w:rPr>
        <w:t>三</w:t>
      </w:r>
      <w:r>
        <w:rPr>
          <w:rFonts w:ascii="宋体" w:hAnsi="宋体" w:eastAsia="宋体"/>
          <w:sz w:val="24"/>
        </w:rPr>
        <w:t>次通过运营监管软件远程查看水站运行数据和状态参数，</w:t>
      </w:r>
      <w:r>
        <w:rPr>
          <w:rFonts w:hint="eastAsia" w:ascii="宋体" w:hAnsi="宋体" w:eastAsia="宋体"/>
          <w:sz w:val="24"/>
        </w:rPr>
        <w:t>每周至少</w:t>
      </w:r>
      <w:r>
        <w:rPr>
          <w:rFonts w:ascii="宋体" w:hAnsi="宋体" w:eastAsia="宋体"/>
          <w:sz w:val="24"/>
        </w:rPr>
        <w:t>1</w:t>
      </w:r>
      <w:r>
        <w:rPr>
          <w:rFonts w:hint="eastAsia" w:ascii="宋体" w:hAnsi="宋体" w:eastAsia="宋体"/>
          <w:sz w:val="24"/>
        </w:rPr>
        <w:t>次现场巡检维护、用标准样品校准仪器并做好记录，每月至少进行一次仪器校准、实际水样人工比对实验，仪器校准和实际水样比对误差范围要符合国家相关规范要求。上述工作须进行详细记录，实际水样人工比对结果应提供具有CMA资质的报告。</w:t>
      </w:r>
    </w:p>
    <w:p>
      <w:pPr>
        <w:autoSpaceDE w:val="0"/>
        <w:autoSpaceDN w:val="0"/>
        <w:spacing w:line="360" w:lineRule="auto"/>
        <w:rPr>
          <w:rFonts w:ascii="宋体" w:hAnsi="宋体" w:eastAsia="宋体"/>
          <w:sz w:val="24"/>
        </w:rPr>
      </w:pPr>
      <w:r>
        <w:rPr>
          <w:rFonts w:hint="eastAsia" w:ascii="宋体" w:hAnsi="宋体" w:eastAsia="宋体"/>
          <w:sz w:val="24"/>
        </w:rPr>
        <w:t>（3）对自动监测设备运行情况及监测数据进行实时监控，发现异常现象，及时赶赴现场进行维护。对每日监测数据上传情况，设备运行状态，异常数据情况、仪器故障时间段及采取的相应措施进行记录。</w:t>
      </w:r>
    </w:p>
    <w:p>
      <w:pPr>
        <w:autoSpaceDE w:val="0"/>
        <w:autoSpaceDN w:val="0"/>
        <w:spacing w:line="360" w:lineRule="auto"/>
        <w:rPr>
          <w:rFonts w:ascii="宋体" w:hAnsi="宋体" w:eastAsia="宋体"/>
          <w:sz w:val="24"/>
        </w:rPr>
      </w:pPr>
      <w:r>
        <w:rPr>
          <w:rFonts w:hint="eastAsia" w:ascii="宋体" w:hAnsi="宋体" w:eastAsia="宋体"/>
          <w:sz w:val="24"/>
        </w:rPr>
        <w:t>（4）建立完善的规章制度、质控体系和自动监控设备运行档案，建立健全运营管理制度。主要包括：人员培训、操作规程、岗位责任、定期比对监测、定期校准维护记录、运行信息公开、设施故障预防和应急措施等制度。具有充足的日常运行、维护所需的各种耗材、备用整机或关键部件，对其使用情况进行定期清点，并根据实际需要进行增购，保证设备运行连续，数据准确。</w:t>
      </w:r>
    </w:p>
    <w:p>
      <w:pPr>
        <w:autoSpaceDE w:val="0"/>
        <w:autoSpaceDN w:val="0"/>
        <w:spacing w:line="360" w:lineRule="auto"/>
        <w:rPr>
          <w:rFonts w:ascii="宋体" w:hAnsi="宋体" w:eastAsia="宋体"/>
          <w:sz w:val="24"/>
        </w:rPr>
      </w:pPr>
      <w:r>
        <w:rPr>
          <w:rFonts w:hint="eastAsia" w:ascii="宋体" w:hAnsi="宋体" w:eastAsia="宋体"/>
          <w:sz w:val="24"/>
        </w:rPr>
        <w:t>（5）设备出现故障必须及时在平台填报故障情况，并及时修复；</w:t>
      </w:r>
      <w:r>
        <w:rPr>
          <w:rFonts w:ascii="宋体" w:hAnsi="宋体" w:eastAsia="宋体"/>
          <w:sz w:val="24"/>
        </w:rPr>
        <w:t>中标商对出现的仪器故障应做到24小时内解决出现的问题</w:t>
      </w:r>
      <w:r>
        <w:rPr>
          <w:rFonts w:hint="eastAsia" w:ascii="宋体" w:hAnsi="宋体" w:eastAsia="宋体"/>
          <w:sz w:val="24"/>
        </w:rPr>
        <w:t>，如问题不能排除，在</w:t>
      </w:r>
      <w:r>
        <w:rPr>
          <w:rFonts w:ascii="宋体" w:hAnsi="宋体" w:eastAsia="宋体"/>
          <w:sz w:val="24"/>
        </w:rPr>
        <w:t>48</w:t>
      </w:r>
      <w:r>
        <w:rPr>
          <w:rFonts w:hint="eastAsia" w:ascii="宋体" w:hAnsi="宋体" w:eastAsia="宋体"/>
          <w:sz w:val="24"/>
        </w:rPr>
        <w:t>小时内无法修复的，应安装备机；设施不能正常运行期间，要采取人工采样分析的方式报送数据，每天不少于</w:t>
      </w:r>
      <w:r>
        <w:rPr>
          <w:rFonts w:ascii="宋体" w:hAnsi="宋体" w:eastAsia="宋体"/>
          <w:sz w:val="24"/>
        </w:rPr>
        <w:t>1</w:t>
      </w:r>
      <w:r>
        <w:rPr>
          <w:rFonts w:hint="eastAsia" w:ascii="宋体" w:hAnsi="宋体" w:eastAsia="宋体"/>
          <w:sz w:val="24"/>
        </w:rPr>
        <w:t>次。</w:t>
      </w:r>
    </w:p>
    <w:p>
      <w:pPr>
        <w:autoSpaceDE w:val="0"/>
        <w:autoSpaceDN w:val="0"/>
        <w:spacing w:line="360" w:lineRule="auto"/>
        <w:rPr>
          <w:rFonts w:ascii="宋体" w:hAnsi="宋体" w:eastAsia="宋体"/>
          <w:sz w:val="24"/>
        </w:rPr>
      </w:pPr>
      <w:r>
        <w:rPr>
          <w:rFonts w:hint="eastAsia" w:ascii="宋体" w:hAnsi="宋体" w:eastAsia="宋体"/>
          <w:sz w:val="24"/>
        </w:rPr>
        <w:t>（6）对自动监控系统设备的安全和正常运转负责，未经济南市生态环境局允许，无关人员不得进入设备站房。</w:t>
      </w:r>
    </w:p>
    <w:p>
      <w:pPr>
        <w:autoSpaceDE w:val="0"/>
        <w:autoSpaceDN w:val="0"/>
        <w:spacing w:line="360" w:lineRule="auto"/>
        <w:rPr>
          <w:rFonts w:ascii="宋体" w:hAnsi="宋体" w:eastAsia="宋体"/>
          <w:sz w:val="24"/>
        </w:rPr>
      </w:pPr>
      <w:r>
        <w:rPr>
          <w:rFonts w:hint="eastAsia" w:ascii="宋体" w:hAnsi="宋体" w:eastAsia="宋体"/>
          <w:sz w:val="24"/>
        </w:rPr>
        <w:t>（7）</w:t>
      </w:r>
      <w:r>
        <w:rPr>
          <w:rFonts w:ascii="宋体" w:hAnsi="宋体" w:eastAsia="宋体"/>
          <w:sz w:val="24"/>
        </w:rPr>
        <w:t>所有监测数据（包括比对数据）归济南市</w:t>
      </w:r>
      <w:r>
        <w:rPr>
          <w:rFonts w:hint="eastAsia" w:ascii="宋体" w:hAnsi="宋体" w:eastAsia="宋体"/>
          <w:sz w:val="24"/>
        </w:rPr>
        <w:t>生态环境局</w:t>
      </w:r>
      <w:r>
        <w:rPr>
          <w:rFonts w:ascii="宋体" w:hAnsi="宋体" w:eastAsia="宋体"/>
          <w:sz w:val="24"/>
        </w:rPr>
        <w:t>所有，</w:t>
      </w:r>
      <w:r>
        <w:rPr>
          <w:rFonts w:hint="eastAsia" w:ascii="宋体" w:hAnsi="宋体" w:eastAsia="宋体"/>
          <w:sz w:val="24"/>
        </w:rPr>
        <w:t>中标</w:t>
      </w:r>
      <w:r>
        <w:rPr>
          <w:rFonts w:ascii="宋体" w:hAnsi="宋体" w:eastAsia="宋体"/>
          <w:sz w:val="24"/>
        </w:rPr>
        <w:t>单位应承担监测数据的保密责任，未经济南市环保部门同意，不得利用本项目的数据、档案或有关资料对外开展技术交流、业务联系、数据交换</w:t>
      </w:r>
      <w:r>
        <w:rPr>
          <w:rFonts w:hint="eastAsia" w:ascii="宋体" w:hAnsi="宋体" w:eastAsia="宋体"/>
          <w:sz w:val="24"/>
        </w:rPr>
        <w:t>、发表论文、申报项目</w:t>
      </w:r>
      <w:r>
        <w:rPr>
          <w:rFonts w:ascii="宋体" w:hAnsi="宋体" w:eastAsia="宋体"/>
          <w:sz w:val="24"/>
        </w:rPr>
        <w:t>等。</w:t>
      </w:r>
    </w:p>
    <w:p>
      <w:pPr>
        <w:autoSpaceDE w:val="0"/>
        <w:autoSpaceDN w:val="0"/>
        <w:spacing w:line="360" w:lineRule="auto"/>
        <w:rPr>
          <w:rFonts w:ascii="宋体" w:hAnsi="宋体" w:eastAsia="宋体"/>
          <w:sz w:val="24"/>
        </w:rPr>
      </w:pPr>
      <w:r>
        <w:rPr>
          <w:rFonts w:hint="eastAsia" w:ascii="宋体" w:hAnsi="宋体" w:eastAsia="宋体"/>
          <w:sz w:val="24"/>
        </w:rPr>
        <w:t>（8）每年由有资质的单位对系统做一次防雷检测，提供系统和仪表整体的防雷检测报告。</w:t>
      </w:r>
    </w:p>
    <w:p>
      <w:pPr>
        <w:autoSpaceDE w:val="0"/>
        <w:autoSpaceDN w:val="0"/>
        <w:spacing w:line="360" w:lineRule="auto"/>
        <w:rPr>
          <w:rFonts w:ascii="宋体" w:hAnsi="宋体" w:eastAsia="宋体"/>
          <w:sz w:val="24"/>
        </w:rPr>
      </w:pPr>
      <w:r>
        <w:rPr>
          <w:rFonts w:hint="eastAsia" w:ascii="宋体" w:hAnsi="宋体" w:eastAsia="宋体"/>
          <w:sz w:val="24"/>
        </w:rPr>
        <w:t>（9）</w:t>
      </w:r>
      <w:r>
        <w:rPr>
          <w:rFonts w:ascii="宋体" w:hAnsi="宋体" w:eastAsia="宋体"/>
          <w:sz w:val="24"/>
        </w:rPr>
        <w:t>全程序全过程留痕，所有</w:t>
      </w:r>
      <w:r>
        <w:rPr>
          <w:rFonts w:hint="eastAsia" w:ascii="宋体" w:hAnsi="宋体" w:eastAsia="宋体"/>
          <w:sz w:val="24"/>
        </w:rPr>
        <w:t>运营工作</w:t>
      </w:r>
      <w:r>
        <w:rPr>
          <w:rFonts w:ascii="宋体" w:hAnsi="宋体" w:eastAsia="宋体"/>
          <w:sz w:val="24"/>
        </w:rPr>
        <w:t>均</w:t>
      </w:r>
      <w:r>
        <w:rPr>
          <w:rFonts w:hint="eastAsia" w:ascii="宋体" w:hAnsi="宋体" w:eastAsia="宋体"/>
          <w:sz w:val="24"/>
        </w:rPr>
        <w:t>须</w:t>
      </w:r>
      <w:r>
        <w:rPr>
          <w:rFonts w:ascii="宋体" w:hAnsi="宋体" w:eastAsia="宋体"/>
          <w:sz w:val="24"/>
        </w:rPr>
        <w:t>形成记录。</w:t>
      </w:r>
    </w:p>
    <w:p>
      <w:pPr>
        <w:spacing w:line="360" w:lineRule="auto"/>
        <w:outlineLvl w:val="3"/>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五</w:t>
      </w:r>
      <w:r>
        <w:rPr>
          <w:rFonts w:ascii="宋体" w:hAnsi="宋体" w:eastAsia="宋体"/>
          <w:b/>
          <w:sz w:val="28"/>
          <w:szCs w:val="28"/>
        </w:rPr>
        <w:t>）、其它要求</w:t>
      </w:r>
    </w:p>
    <w:p>
      <w:pPr>
        <w:pStyle w:val="67"/>
        <w:adjustRightInd/>
        <w:spacing w:line="360" w:lineRule="auto"/>
        <w:ind w:firstLine="0"/>
        <w:rPr>
          <w:rFonts w:ascii="宋体" w:hAnsi="宋体"/>
          <w:color w:val="auto"/>
          <w:sz w:val="24"/>
          <w:szCs w:val="24"/>
        </w:rPr>
      </w:pPr>
      <w:r>
        <w:rPr>
          <w:rFonts w:ascii="宋体" w:hAnsi="宋体"/>
          <w:b/>
          <w:bCs/>
          <w:color w:val="auto"/>
          <w:sz w:val="24"/>
          <w:szCs w:val="24"/>
        </w:rPr>
        <w:t>1</w:t>
      </w:r>
      <w:r>
        <w:rPr>
          <w:rFonts w:hint="eastAsia" w:ascii="宋体" w:hAnsi="宋体"/>
          <w:b/>
          <w:bCs/>
          <w:color w:val="auto"/>
          <w:sz w:val="24"/>
          <w:szCs w:val="24"/>
        </w:rPr>
        <w:t>、</w:t>
      </w:r>
      <w:r>
        <w:rPr>
          <w:rFonts w:ascii="宋体" w:hAnsi="宋体"/>
          <w:b/>
          <w:bCs/>
          <w:color w:val="auto"/>
          <w:sz w:val="24"/>
          <w:szCs w:val="24"/>
        </w:rPr>
        <w:t>系统的完整性</w:t>
      </w:r>
      <w:r>
        <w:rPr>
          <w:rFonts w:ascii="宋体" w:hAnsi="宋体"/>
          <w:color w:val="auto"/>
          <w:sz w:val="24"/>
          <w:szCs w:val="24"/>
        </w:rPr>
        <w:t>：</w:t>
      </w:r>
    </w:p>
    <w:p>
      <w:pPr>
        <w:spacing w:line="360" w:lineRule="auto"/>
        <w:ind w:firstLine="480" w:firstLineChars="200"/>
        <w:rPr>
          <w:rFonts w:ascii="宋体" w:hAnsi="宋体" w:eastAsia="宋体"/>
          <w:sz w:val="24"/>
        </w:rPr>
      </w:pPr>
      <w:r>
        <w:rPr>
          <w:rFonts w:ascii="宋体" w:hAnsi="宋体" w:eastAsia="宋体"/>
          <w:sz w:val="24"/>
        </w:rPr>
        <w:t>投标人提供的整套设备应能构成一个完整的系统并按技术要求连续运行。需要采购人自行解决的设备、附件应在投标文件中列出，否则系统正常运行所缺的设备及附件，均视为免费及时提供。</w:t>
      </w:r>
    </w:p>
    <w:p>
      <w:pPr>
        <w:pStyle w:val="66"/>
        <w:spacing w:after="0" w:line="360" w:lineRule="auto"/>
        <w:rPr>
          <w:rFonts w:ascii="宋体" w:hAnsi="宋体"/>
          <w:sz w:val="24"/>
          <w:szCs w:val="24"/>
        </w:rPr>
      </w:pPr>
      <w:r>
        <w:rPr>
          <w:rFonts w:ascii="宋体" w:hAnsi="宋体"/>
          <w:b/>
          <w:bCs/>
          <w:sz w:val="24"/>
          <w:szCs w:val="24"/>
        </w:rPr>
        <w:t>2</w:t>
      </w:r>
      <w:r>
        <w:rPr>
          <w:rFonts w:hint="eastAsia" w:ascii="宋体" w:hAnsi="宋体"/>
          <w:b/>
          <w:bCs/>
          <w:sz w:val="24"/>
          <w:szCs w:val="24"/>
        </w:rPr>
        <w:t>、</w:t>
      </w:r>
      <w:r>
        <w:rPr>
          <w:rFonts w:ascii="宋体" w:hAnsi="宋体"/>
          <w:b/>
          <w:bCs/>
          <w:sz w:val="24"/>
          <w:szCs w:val="24"/>
        </w:rPr>
        <w:t>提供的设备要求</w:t>
      </w:r>
      <w:r>
        <w:rPr>
          <w:rFonts w:ascii="宋体" w:hAnsi="宋体"/>
          <w:sz w:val="24"/>
          <w:szCs w:val="24"/>
        </w:rPr>
        <w:t>：</w:t>
      </w:r>
    </w:p>
    <w:p>
      <w:pPr>
        <w:pStyle w:val="66"/>
        <w:spacing w:after="0" w:line="360" w:lineRule="auto"/>
        <w:rPr>
          <w:rFonts w:ascii="宋体" w:hAnsi="宋体"/>
          <w:sz w:val="24"/>
          <w:szCs w:val="24"/>
        </w:rPr>
      </w:pPr>
      <w:r>
        <w:rPr>
          <w:rFonts w:hint="eastAsia" w:ascii="宋体" w:hAnsi="宋体"/>
          <w:sz w:val="24"/>
          <w:szCs w:val="24"/>
        </w:rPr>
        <w:t>（1）</w:t>
      </w:r>
      <w:r>
        <w:rPr>
          <w:rFonts w:ascii="宋体" w:hAnsi="宋体"/>
          <w:sz w:val="24"/>
          <w:szCs w:val="24"/>
        </w:rPr>
        <w:t>投标人所投设备货物的技术参数不得低于本项目的技术要求和档次。</w:t>
      </w:r>
    </w:p>
    <w:p>
      <w:pPr>
        <w:pStyle w:val="66"/>
        <w:spacing w:after="0" w:line="360" w:lineRule="auto"/>
        <w:rPr>
          <w:rFonts w:ascii="宋体" w:hAnsi="宋体"/>
          <w:b/>
          <w:bCs/>
          <w:sz w:val="24"/>
          <w:szCs w:val="24"/>
        </w:rPr>
      </w:pPr>
      <w:r>
        <w:rPr>
          <w:rFonts w:hint="eastAsia" w:ascii="宋体" w:hAnsi="宋体"/>
          <w:sz w:val="24"/>
          <w:szCs w:val="24"/>
        </w:rPr>
        <w:t>（2）</w:t>
      </w:r>
      <w:r>
        <w:rPr>
          <w:rFonts w:ascii="宋体" w:hAnsi="宋体"/>
          <w:sz w:val="24"/>
          <w:szCs w:val="24"/>
        </w:rPr>
        <w:t>投标人提供的整套设备各组成部分必须是完整的、全新的、功能全的单元，并且必须是全新、符合国家质量检测标准的（附检测报告复印件），符合《招标货物一览表》中的规格型号及配置要求的货物(包括零部件)，所有的原材料必须无任何缺陷。所有的设备和安装要符合国家有关的行业标准。</w:t>
      </w:r>
    </w:p>
    <w:p>
      <w:pPr>
        <w:pStyle w:val="66"/>
        <w:spacing w:after="0" w:line="360" w:lineRule="auto"/>
        <w:rPr>
          <w:rFonts w:ascii="宋体" w:hAnsi="宋体"/>
          <w:sz w:val="24"/>
          <w:szCs w:val="24"/>
        </w:rPr>
      </w:pPr>
      <w:r>
        <w:rPr>
          <w:rFonts w:hint="eastAsia" w:ascii="宋体" w:hAnsi="宋体"/>
          <w:sz w:val="24"/>
          <w:szCs w:val="24"/>
        </w:rPr>
        <w:t>（3）</w:t>
      </w:r>
      <w:r>
        <w:rPr>
          <w:rFonts w:ascii="宋体" w:hAnsi="宋体"/>
          <w:sz w:val="24"/>
          <w:szCs w:val="24"/>
        </w:rPr>
        <w:t>所提供的货物应具有出厂检验合格证，不得是长期积压产品。</w:t>
      </w:r>
    </w:p>
    <w:p>
      <w:pPr>
        <w:pStyle w:val="66"/>
        <w:spacing w:after="0" w:line="360" w:lineRule="auto"/>
        <w:rPr>
          <w:rFonts w:ascii="宋体" w:hAnsi="宋体"/>
          <w:sz w:val="24"/>
          <w:szCs w:val="24"/>
        </w:rPr>
      </w:pPr>
      <w:r>
        <w:rPr>
          <w:rFonts w:hint="eastAsia" w:ascii="宋体" w:hAnsi="宋体"/>
          <w:sz w:val="24"/>
          <w:szCs w:val="24"/>
        </w:rPr>
        <w:t>（4）</w:t>
      </w:r>
      <w:r>
        <w:rPr>
          <w:rFonts w:ascii="宋体" w:hAnsi="宋体"/>
          <w:sz w:val="24"/>
          <w:szCs w:val="24"/>
        </w:rPr>
        <w:t>投标人应在投标文件中列出国内代理商及维修服务网点的地址、邮编、电话、传真及联系人。</w:t>
      </w:r>
    </w:p>
    <w:p>
      <w:pPr>
        <w:pStyle w:val="66"/>
        <w:spacing w:after="0" w:line="360" w:lineRule="auto"/>
        <w:rPr>
          <w:rFonts w:ascii="宋体" w:hAnsi="宋体"/>
          <w:b/>
          <w:bCs/>
          <w:sz w:val="24"/>
          <w:szCs w:val="24"/>
        </w:rPr>
      </w:pPr>
      <w:r>
        <w:rPr>
          <w:rFonts w:ascii="宋体" w:hAnsi="宋体"/>
          <w:b/>
          <w:bCs/>
          <w:sz w:val="24"/>
          <w:szCs w:val="24"/>
        </w:rPr>
        <w:t>3</w:t>
      </w:r>
      <w:r>
        <w:rPr>
          <w:rFonts w:hint="eastAsia" w:ascii="宋体" w:hAnsi="宋体"/>
          <w:b/>
          <w:bCs/>
          <w:sz w:val="24"/>
          <w:szCs w:val="24"/>
        </w:rPr>
        <w:t>、</w:t>
      </w:r>
      <w:r>
        <w:rPr>
          <w:rFonts w:ascii="宋体" w:hAnsi="宋体"/>
          <w:b/>
          <w:bCs/>
          <w:sz w:val="24"/>
          <w:szCs w:val="24"/>
        </w:rPr>
        <w:t>提供技术文件要求：</w:t>
      </w:r>
    </w:p>
    <w:p>
      <w:pPr>
        <w:pStyle w:val="66"/>
        <w:spacing w:after="0" w:line="360" w:lineRule="auto"/>
        <w:rPr>
          <w:rFonts w:ascii="宋体" w:hAnsi="宋体"/>
          <w:sz w:val="24"/>
          <w:szCs w:val="24"/>
        </w:rPr>
      </w:pPr>
      <w:r>
        <w:rPr>
          <w:rFonts w:hint="eastAsia" w:ascii="宋体" w:hAnsi="宋体"/>
          <w:sz w:val="24"/>
          <w:szCs w:val="24"/>
        </w:rPr>
        <w:t>（1）</w:t>
      </w:r>
      <w:r>
        <w:rPr>
          <w:rFonts w:ascii="宋体" w:hAnsi="宋体"/>
          <w:sz w:val="24"/>
          <w:szCs w:val="24"/>
        </w:rPr>
        <w:t>投标商如果中标，其所提供的技术文件应与货物相对应一致，并尽可能完整清晰。技术文件应为原件。合同技术文件应与每批货物共同包装送交，费用应包含于货物的基础报价中。</w:t>
      </w:r>
    </w:p>
    <w:p>
      <w:pPr>
        <w:pStyle w:val="66"/>
        <w:spacing w:after="0" w:line="360" w:lineRule="auto"/>
        <w:rPr>
          <w:rFonts w:ascii="宋体" w:hAnsi="宋体"/>
          <w:sz w:val="24"/>
          <w:szCs w:val="24"/>
        </w:rPr>
      </w:pPr>
      <w:r>
        <w:rPr>
          <w:rFonts w:hint="eastAsia" w:ascii="宋体" w:hAnsi="宋体"/>
          <w:sz w:val="24"/>
          <w:szCs w:val="24"/>
        </w:rPr>
        <w:t>（2）</w:t>
      </w:r>
      <w:r>
        <w:rPr>
          <w:rFonts w:ascii="宋体" w:hAnsi="宋体"/>
          <w:sz w:val="24"/>
          <w:szCs w:val="24"/>
        </w:rPr>
        <w:t>国外货物的技术文件应为中英文。文字应简单易懂。硬件的技术文件应附详尽图表以便安装和纠错指导。</w:t>
      </w:r>
    </w:p>
    <w:p>
      <w:pPr>
        <w:pStyle w:val="66"/>
        <w:spacing w:after="0" w:line="360" w:lineRule="auto"/>
        <w:rPr>
          <w:rFonts w:ascii="宋体" w:hAnsi="宋体"/>
          <w:sz w:val="24"/>
          <w:szCs w:val="24"/>
        </w:rPr>
      </w:pPr>
      <w:r>
        <w:rPr>
          <w:rFonts w:hint="eastAsia" w:ascii="宋体" w:hAnsi="宋体"/>
          <w:sz w:val="24"/>
          <w:szCs w:val="24"/>
        </w:rPr>
        <w:t>（3）</w:t>
      </w:r>
      <w:r>
        <w:rPr>
          <w:rFonts w:ascii="宋体" w:hAnsi="宋体"/>
          <w:sz w:val="24"/>
          <w:szCs w:val="24"/>
        </w:rPr>
        <w:t>技术手册应至少包括：相关硬件的安装指导、安装手册、使用说明书、设备保养、维护手册（包含错误诊断、测试程序）等；相关软件的安装指导、用户指导、管理者手册、语言和命令说明等。</w:t>
      </w:r>
    </w:p>
    <w:p>
      <w:pPr>
        <w:pStyle w:val="66"/>
        <w:spacing w:after="0" w:line="360" w:lineRule="auto"/>
        <w:rPr>
          <w:rFonts w:ascii="宋体" w:hAnsi="宋体"/>
          <w:sz w:val="24"/>
          <w:szCs w:val="24"/>
        </w:rPr>
      </w:pPr>
      <w:r>
        <w:rPr>
          <w:rFonts w:hint="eastAsia" w:ascii="宋体" w:hAnsi="宋体"/>
          <w:sz w:val="24"/>
          <w:szCs w:val="24"/>
        </w:rPr>
        <w:t>（4）</w:t>
      </w:r>
      <w:r>
        <w:rPr>
          <w:rFonts w:ascii="宋体" w:hAnsi="宋体"/>
          <w:sz w:val="24"/>
          <w:szCs w:val="24"/>
        </w:rPr>
        <w:t>自动监测仪器所采用的分析方法的名称、标准代号及分析方法的中（英）文说明书。</w:t>
      </w:r>
    </w:p>
    <w:p>
      <w:pPr>
        <w:pStyle w:val="11"/>
        <w:spacing w:after="0" w:line="360" w:lineRule="auto"/>
        <w:rPr>
          <w:rFonts w:ascii="宋体" w:hAnsi="宋体"/>
          <w:sz w:val="24"/>
          <w:szCs w:val="24"/>
        </w:rPr>
      </w:pPr>
      <w:r>
        <w:rPr>
          <w:rFonts w:hint="eastAsia" w:ascii="宋体" w:hAnsi="宋体"/>
          <w:sz w:val="24"/>
          <w:szCs w:val="24"/>
        </w:rPr>
        <w:t>4.投标人须承诺中标后按照采购人指定的传输协议要求，将所有监测数据及视频传输至指定的平台，包括仪器的实时状态、关键参数和监测数据等。并向采购人提供所有仪器的底层通信协议。如产生相关费用，由中标商承担。</w:t>
      </w:r>
    </w:p>
    <w:p>
      <w:pPr>
        <w:pStyle w:val="11"/>
        <w:spacing w:after="0" w:line="360" w:lineRule="auto"/>
        <w:rPr>
          <w:rFonts w:ascii="宋体" w:hAnsi="宋体"/>
          <w:sz w:val="24"/>
          <w:szCs w:val="24"/>
        </w:rPr>
      </w:pPr>
      <w:r>
        <w:rPr>
          <w:rFonts w:hint="eastAsia" w:ascii="宋体" w:hAnsi="宋体"/>
          <w:sz w:val="24"/>
          <w:szCs w:val="24"/>
        </w:rPr>
        <w:t>5.中标价格包含数据联网、视频联网、平台联网部署、平台二次开发、数据共享等费用。</w:t>
      </w:r>
    </w:p>
    <w:p>
      <w:pPr>
        <w:pStyle w:val="66"/>
        <w:spacing w:after="0" w:line="360" w:lineRule="auto"/>
        <w:rPr>
          <w:rFonts w:ascii="宋体" w:hAnsi="宋体"/>
          <w:sz w:val="24"/>
          <w:szCs w:val="24"/>
        </w:rPr>
      </w:pPr>
      <w:r>
        <w:rPr>
          <w:rFonts w:hint="eastAsia" w:ascii="宋体" w:hAnsi="宋体"/>
          <w:sz w:val="24"/>
          <w:szCs w:val="24"/>
        </w:rPr>
        <w:t>6.</w:t>
      </w:r>
      <w:r>
        <w:rPr>
          <w:rFonts w:ascii="宋体" w:hAnsi="宋体"/>
          <w:sz w:val="24"/>
          <w:szCs w:val="24"/>
        </w:rPr>
        <w:t>本用户需求中没有在投标文件中注明偏离（文字说明或在技术、商务偏离表注明）的参数、配置、条款视为投标人完全接受。</w:t>
      </w:r>
    </w:p>
    <w:p>
      <w:pPr>
        <w:pStyle w:val="66"/>
        <w:spacing w:after="0" w:line="360" w:lineRule="auto"/>
        <w:rPr>
          <w:rFonts w:ascii="宋体" w:hAnsi="宋体"/>
          <w:sz w:val="24"/>
          <w:szCs w:val="24"/>
        </w:rPr>
      </w:pPr>
      <w:r>
        <w:rPr>
          <w:rFonts w:hint="eastAsia" w:ascii="宋体" w:hAnsi="宋体"/>
          <w:sz w:val="24"/>
          <w:szCs w:val="24"/>
        </w:rPr>
        <w:t>7.</w:t>
      </w:r>
      <w:r>
        <w:rPr>
          <w:rFonts w:ascii="宋体" w:hAnsi="宋体"/>
          <w:sz w:val="24"/>
          <w:szCs w:val="24"/>
        </w:rPr>
        <w:t>投标货物或商务条款存在偏差的必须如实填写本表，否则可能导致投标被废标。</w:t>
      </w:r>
    </w:p>
    <w:p>
      <w:pPr>
        <w:pStyle w:val="66"/>
        <w:spacing w:after="0" w:line="360" w:lineRule="auto"/>
        <w:rPr>
          <w:rFonts w:ascii="宋体" w:hAnsi="宋体"/>
          <w:sz w:val="24"/>
          <w:szCs w:val="24"/>
        </w:rPr>
      </w:pPr>
      <w:r>
        <w:rPr>
          <w:rFonts w:hint="eastAsia" w:ascii="宋体" w:hAnsi="宋体"/>
          <w:sz w:val="24"/>
          <w:szCs w:val="24"/>
        </w:rPr>
        <w:t>8.</w:t>
      </w:r>
      <w:r>
        <w:rPr>
          <w:rFonts w:ascii="宋体" w:hAnsi="宋体"/>
          <w:sz w:val="24"/>
          <w:szCs w:val="24"/>
        </w:rPr>
        <w:t>投标人须按照招标文件中的技术指标逐条填写，未逐条填写的将被视为不响应。</w:t>
      </w:r>
    </w:p>
    <w:p>
      <w:pPr>
        <w:autoSpaceDE w:val="0"/>
        <w:autoSpaceDN w:val="0"/>
        <w:spacing w:line="360" w:lineRule="auto"/>
        <w:rPr>
          <w:rFonts w:ascii="宋体" w:hAnsi="宋体" w:eastAsia="宋体"/>
          <w:sz w:val="24"/>
        </w:rPr>
      </w:pPr>
      <w:r>
        <w:rPr>
          <w:rFonts w:hint="eastAsia" w:ascii="宋体" w:hAnsi="宋体" w:eastAsia="宋体"/>
          <w:sz w:val="24"/>
        </w:rPr>
        <w:t>9.</w:t>
      </w:r>
      <w:r>
        <w:rPr>
          <w:rFonts w:ascii="宋体" w:hAnsi="宋体" w:eastAsia="宋体"/>
          <w:sz w:val="24"/>
        </w:rPr>
        <w:t>中标单位在签订合同时，若坚持提出附加条件和不合理要求，中标资格将被取消，该中标人对由此产生的一切后果负责。</w:t>
      </w:r>
    </w:p>
    <w:p>
      <w:pPr>
        <w:autoSpaceDE w:val="0"/>
        <w:autoSpaceDN w:val="0"/>
        <w:spacing w:line="360" w:lineRule="auto"/>
        <w:rPr>
          <w:rFonts w:ascii="宋体" w:hAnsi="宋体" w:eastAsia="宋体"/>
          <w:b/>
          <w:sz w:val="30"/>
          <w:szCs w:val="30"/>
        </w:rPr>
      </w:pPr>
      <w:r>
        <w:rPr>
          <w:rFonts w:hint="eastAsia" w:ascii="宋体" w:hAnsi="宋体" w:eastAsia="宋体"/>
          <w:b/>
          <w:sz w:val="30"/>
          <w:szCs w:val="30"/>
        </w:rPr>
        <w:t>七、考核内容</w:t>
      </w:r>
    </w:p>
    <w:p>
      <w:pPr>
        <w:spacing w:line="360" w:lineRule="auto"/>
        <w:ind w:firstLine="480" w:firstLineChars="200"/>
        <w:rPr>
          <w:rFonts w:ascii="宋体" w:hAnsi="宋体" w:eastAsia="宋体"/>
          <w:sz w:val="24"/>
        </w:rPr>
      </w:pPr>
      <w:r>
        <w:rPr>
          <w:rFonts w:hint="eastAsia" w:ascii="宋体" w:hAnsi="宋体" w:eastAsia="宋体"/>
          <w:sz w:val="24"/>
        </w:rPr>
        <w:t>济南市生态环境局</w:t>
      </w:r>
      <w:r>
        <w:rPr>
          <w:rFonts w:ascii="宋体" w:hAnsi="宋体" w:eastAsia="宋体"/>
          <w:sz w:val="24"/>
        </w:rPr>
        <w:t>负责每月对运营单位进行考核（</w:t>
      </w:r>
      <w:r>
        <w:rPr>
          <w:rFonts w:hint="eastAsia" w:ascii="宋体" w:hAnsi="宋体" w:eastAsia="宋体"/>
          <w:sz w:val="24"/>
        </w:rPr>
        <w:t>表2</w:t>
      </w:r>
      <w:r>
        <w:rPr>
          <w:rFonts w:ascii="宋体" w:hAnsi="宋体" w:eastAsia="宋体"/>
          <w:sz w:val="24"/>
        </w:rPr>
        <w:t>）。考核采取百分制、单站</w:t>
      </w:r>
      <w:r>
        <w:rPr>
          <w:rFonts w:hint="eastAsia" w:ascii="宋体" w:hAnsi="宋体" w:eastAsia="宋体"/>
          <w:sz w:val="24"/>
        </w:rPr>
        <w:t>每月</w:t>
      </w:r>
      <w:r>
        <w:rPr>
          <w:rFonts w:ascii="宋体" w:hAnsi="宋体" w:eastAsia="宋体"/>
          <w:sz w:val="24"/>
        </w:rPr>
        <w:t>考核的方式进行，主要包括监测设备运行率和监测数据准确率(以下简称两率)、运行维护</w:t>
      </w:r>
      <w:r>
        <w:rPr>
          <w:rFonts w:hint="eastAsia" w:ascii="宋体" w:hAnsi="宋体" w:eastAsia="宋体"/>
          <w:sz w:val="24"/>
        </w:rPr>
        <w:t>有关</w:t>
      </w:r>
      <w:r>
        <w:rPr>
          <w:rFonts w:ascii="宋体" w:hAnsi="宋体" w:eastAsia="宋体"/>
          <w:sz w:val="24"/>
        </w:rPr>
        <w:t>内容，其中两率考核占</w:t>
      </w:r>
      <w:r>
        <w:rPr>
          <w:rFonts w:hint="eastAsia" w:ascii="宋体" w:hAnsi="宋体" w:eastAsia="宋体"/>
          <w:sz w:val="24"/>
        </w:rPr>
        <w:t>70分</w:t>
      </w:r>
      <w:r>
        <w:rPr>
          <w:rFonts w:ascii="宋体" w:hAnsi="宋体" w:eastAsia="宋体"/>
          <w:sz w:val="24"/>
        </w:rPr>
        <w:t>，运行维护考核占</w:t>
      </w:r>
      <w:r>
        <w:rPr>
          <w:rFonts w:hint="eastAsia" w:ascii="宋体" w:hAnsi="宋体" w:eastAsia="宋体"/>
          <w:sz w:val="24"/>
        </w:rPr>
        <w:t>30分</w:t>
      </w:r>
      <w:r>
        <w:rPr>
          <w:rFonts w:ascii="宋体" w:hAnsi="宋体" w:eastAsia="宋体"/>
          <w:sz w:val="24"/>
        </w:rPr>
        <w:t>。</w:t>
      </w:r>
      <w:r>
        <w:rPr>
          <w:rFonts w:hint="eastAsia" w:ascii="宋体" w:hAnsi="宋体" w:eastAsia="宋体"/>
          <w:sz w:val="24"/>
        </w:rPr>
        <w:t>其中考核分值在</w:t>
      </w:r>
      <w:r>
        <w:rPr>
          <w:rFonts w:ascii="宋体" w:hAnsi="宋体" w:eastAsia="宋体"/>
          <w:sz w:val="24"/>
        </w:rPr>
        <w:t>90</w:t>
      </w:r>
      <w:r>
        <w:rPr>
          <w:rFonts w:hint="eastAsia" w:ascii="宋体" w:hAnsi="宋体" w:eastAsia="宋体"/>
          <w:sz w:val="24"/>
        </w:rPr>
        <w:t>分以上的全额支付，</w:t>
      </w:r>
      <w:r>
        <w:rPr>
          <w:rFonts w:ascii="宋体" w:hAnsi="宋体" w:eastAsia="宋体"/>
          <w:sz w:val="24"/>
        </w:rPr>
        <w:t>85</w:t>
      </w:r>
      <w:r>
        <w:rPr>
          <w:rFonts w:hint="eastAsia" w:ascii="宋体" w:hAnsi="宋体" w:eastAsia="宋体"/>
          <w:sz w:val="24"/>
        </w:rPr>
        <w:t>--</w:t>
      </w:r>
      <w:r>
        <w:rPr>
          <w:rFonts w:ascii="宋体" w:hAnsi="宋体" w:eastAsia="宋体"/>
          <w:sz w:val="24"/>
        </w:rPr>
        <w:t>90</w:t>
      </w:r>
      <w:r>
        <w:rPr>
          <w:rFonts w:hint="eastAsia" w:ascii="宋体" w:hAnsi="宋体" w:eastAsia="宋体"/>
          <w:sz w:val="24"/>
        </w:rPr>
        <w:t>分按全年运营费的</w:t>
      </w:r>
      <w:r>
        <w:rPr>
          <w:rFonts w:ascii="宋体" w:hAnsi="宋体" w:eastAsia="宋体"/>
          <w:sz w:val="24"/>
        </w:rPr>
        <w:t>90%</w:t>
      </w:r>
      <w:r>
        <w:rPr>
          <w:rFonts w:hint="eastAsia" w:ascii="宋体" w:hAnsi="宋体" w:eastAsia="宋体"/>
          <w:sz w:val="24"/>
        </w:rPr>
        <w:t>支付，</w:t>
      </w:r>
      <w:r>
        <w:rPr>
          <w:rFonts w:ascii="宋体" w:hAnsi="宋体" w:eastAsia="宋体"/>
          <w:sz w:val="24"/>
        </w:rPr>
        <w:t>80--85</w:t>
      </w:r>
      <w:r>
        <w:rPr>
          <w:rFonts w:hint="eastAsia" w:ascii="宋体" w:hAnsi="宋体" w:eastAsia="宋体"/>
          <w:sz w:val="24"/>
        </w:rPr>
        <w:t>分按全年运营费的</w:t>
      </w:r>
      <w:r>
        <w:rPr>
          <w:rFonts w:ascii="宋体" w:hAnsi="宋体" w:eastAsia="宋体"/>
          <w:sz w:val="24"/>
        </w:rPr>
        <w:t>80%</w:t>
      </w:r>
      <w:r>
        <w:rPr>
          <w:rFonts w:hint="eastAsia" w:ascii="宋体" w:hAnsi="宋体" w:eastAsia="宋体"/>
          <w:sz w:val="24"/>
        </w:rPr>
        <w:t>支付，低于</w:t>
      </w:r>
      <w:r>
        <w:rPr>
          <w:rFonts w:ascii="宋体" w:hAnsi="宋体" w:eastAsia="宋体"/>
          <w:sz w:val="24"/>
        </w:rPr>
        <w:t>80</w:t>
      </w:r>
      <w:r>
        <w:rPr>
          <w:rFonts w:hint="eastAsia" w:ascii="宋体" w:hAnsi="宋体" w:eastAsia="宋体"/>
          <w:sz w:val="24"/>
        </w:rPr>
        <w:t>分扣除全年该站点费用。</w:t>
      </w:r>
    </w:p>
    <w:p>
      <w:pPr>
        <w:spacing w:line="360" w:lineRule="auto"/>
        <w:ind w:firstLine="480" w:firstLineChars="200"/>
        <w:rPr>
          <w:rFonts w:ascii="宋体" w:hAnsi="宋体" w:eastAsia="宋体"/>
          <w:sz w:val="24"/>
        </w:rPr>
      </w:pPr>
      <w:r>
        <w:rPr>
          <w:rFonts w:ascii="宋体" w:hAnsi="宋体" w:eastAsia="宋体"/>
          <w:sz w:val="24"/>
        </w:rPr>
        <w:t>仪器运行率由已上传数据量与应上传数据量之比计算考核；数据准确率由实际有效上传数据与应上传数据量之比计算考核。</w:t>
      </w:r>
    </w:p>
    <w:p>
      <w:pPr>
        <w:autoSpaceDE w:val="0"/>
        <w:autoSpaceDN w:val="0"/>
        <w:spacing w:line="360" w:lineRule="auto"/>
        <w:ind w:firstLine="480" w:firstLineChars="200"/>
        <w:rPr>
          <w:rFonts w:ascii="宋体" w:hAnsi="宋体" w:eastAsia="宋体"/>
          <w:sz w:val="24"/>
        </w:rPr>
      </w:pPr>
      <w:r>
        <w:rPr>
          <w:rFonts w:ascii="宋体" w:hAnsi="宋体" w:eastAsia="宋体"/>
          <w:sz w:val="24"/>
        </w:rPr>
        <w:t>运行维护部分由</w:t>
      </w:r>
      <w:r>
        <w:rPr>
          <w:rFonts w:hint="eastAsia" w:ascii="宋体" w:hAnsi="宋体" w:eastAsia="宋体"/>
          <w:sz w:val="24"/>
        </w:rPr>
        <w:t>济南市生态环境局</w:t>
      </w:r>
      <w:r>
        <w:rPr>
          <w:rFonts w:ascii="宋体" w:hAnsi="宋体" w:eastAsia="宋体"/>
          <w:sz w:val="24"/>
        </w:rPr>
        <w:t>每月点位抽查成绩和第三方质控单位</w:t>
      </w:r>
      <w:r>
        <w:rPr>
          <w:rFonts w:hint="eastAsia" w:ascii="宋体" w:hAnsi="宋体" w:eastAsia="宋体"/>
          <w:sz w:val="24"/>
        </w:rPr>
        <w:t>质控</w:t>
      </w:r>
      <w:r>
        <w:rPr>
          <w:rFonts w:ascii="宋体" w:hAnsi="宋体" w:eastAsia="宋体"/>
          <w:sz w:val="24"/>
        </w:rPr>
        <w:t>结果构成，抽查成绩或质控结果作为当月</w:t>
      </w:r>
      <w:r>
        <w:rPr>
          <w:rFonts w:hint="eastAsia" w:ascii="宋体" w:hAnsi="宋体" w:eastAsia="宋体"/>
          <w:sz w:val="24"/>
        </w:rPr>
        <w:t>各</w:t>
      </w:r>
      <w:r>
        <w:rPr>
          <w:rFonts w:ascii="宋体" w:hAnsi="宋体" w:eastAsia="宋体"/>
          <w:sz w:val="24"/>
        </w:rPr>
        <w:t>站</w:t>
      </w:r>
      <w:r>
        <w:rPr>
          <w:rFonts w:hint="eastAsia" w:ascii="宋体" w:hAnsi="宋体" w:eastAsia="宋体"/>
          <w:sz w:val="24"/>
        </w:rPr>
        <w:t>点</w:t>
      </w:r>
      <w:r>
        <w:rPr>
          <w:rFonts w:ascii="宋体" w:hAnsi="宋体" w:eastAsia="宋体"/>
          <w:sz w:val="24"/>
        </w:rPr>
        <w:t>运行维护部分得分。</w:t>
      </w:r>
      <w:r>
        <w:rPr>
          <w:rFonts w:hint="eastAsia" w:ascii="宋体" w:hAnsi="宋体" w:eastAsia="宋体"/>
          <w:sz w:val="24"/>
        </w:rPr>
        <w:t>济南市生态环境局</w:t>
      </w:r>
      <w:r>
        <w:rPr>
          <w:rFonts w:ascii="宋体" w:hAnsi="宋体" w:eastAsia="宋体"/>
          <w:sz w:val="24"/>
        </w:rPr>
        <w:t>抽查点位的，运行维护部分以抽查成绩为准；</w:t>
      </w:r>
      <w:r>
        <w:rPr>
          <w:rFonts w:hint="eastAsia" w:ascii="宋体" w:hAnsi="宋体" w:eastAsia="宋体"/>
          <w:sz w:val="24"/>
        </w:rPr>
        <w:t>济南市生态环境局</w:t>
      </w:r>
      <w:r>
        <w:rPr>
          <w:rFonts w:ascii="宋体" w:hAnsi="宋体" w:eastAsia="宋体"/>
          <w:sz w:val="24"/>
        </w:rPr>
        <w:t>抽查以外的点位，运行维护部分以质控结果为准</w:t>
      </w:r>
      <w:r>
        <w:rPr>
          <w:rFonts w:hint="eastAsia" w:ascii="宋体" w:hAnsi="宋体" w:eastAsia="宋体"/>
          <w:sz w:val="24"/>
        </w:rPr>
        <w:t>。</w:t>
      </w:r>
    </w:p>
    <w:p>
      <w:pPr>
        <w:autoSpaceDE w:val="0"/>
        <w:autoSpaceDN w:val="0"/>
        <w:spacing w:line="360" w:lineRule="auto"/>
        <w:ind w:firstLine="480" w:firstLineChars="200"/>
        <w:rPr>
          <w:rFonts w:ascii="宋体" w:hAnsi="宋体" w:eastAsia="宋体"/>
          <w:sz w:val="24"/>
        </w:rPr>
      </w:pPr>
      <w:r>
        <w:rPr>
          <w:rFonts w:hint="eastAsia" w:ascii="宋体" w:hAnsi="宋体" w:eastAsia="宋体"/>
          <w:sz w:val="24"/>
        </w:rPr>
        <w:t>其中考核分值在</w:t>
      </w:r>
      <w:r>
        <w:rPr>
          <w:rFonts w:ascii="宋体" w:hAnsi="宋体" w:eastAsia="宋体"/>
          <w:sz w:val="24"/>
        </w:rPr>
        <w:t>9</w:t>
      </w:r>
      <w:r>
        <w:rPr>
          <w:rFonts w:hint="eastAsia" w:ascii="宋体" w:hAnsi="宋体" w:eastAsia="宋体"/>
          <w:sz w:val="24"/>
        </w:rPr>
        <w:t>0分以上的全额支付，85</w:t>
      </w:r>
      <w:r>
        <w:rPr>
          <w:rFonts w:ascii="宋体" w:hAnsi="宋体" w:eastAsia="宋体"/>
          <w:sz w:val="24"/>
        </w:rPr>
        <w:t>—</w:t>
      </w:r>
      <w:r>
        <w:rPr>
          <w:rFonts w:hint="eastAsia" w:ascii="宋体" w:hAnsi="宋体" w:eastAsia="宋体"/>
          <w:sz w:val="24"/>
        </w:rPr>
        <w:t>90分按全年运营费的</w:t>
      </w:r>
      <w:r>
        <w:rPr>
          <w:rFonts w:ascii="宋体" w:hAnsi="宋体" w:eastAsia="宋体"/>
          <w:sz w:val="24"/>
        </w:rPr>
        <w:t>90%</w:t>
      </w:r>
      <w:r>
        <w:rPr>
          <w:rFonts w:hint="eastAsia" w:ascii="宋体" w:hAnsi="宋体" w:eastAsia="宋体"/>
          <w:sz w:val="24"/>
        </w:rPr>
        <w:t>支付，</w:t>
      </w:r>
      <w:r>
        <w:rPr>
          <w:rFonts w:ascii="宋体" w:hAnsi="宋体" w:eastAsia="宋体"/>
          <w:sz w:val="24"/>
        </w:rPr>
        <w:t>8</w:t>
      </w:r>
      <w:r>
        <w:rPr>
          <w:rFonts w:hint="eastAsia" w:ascii="宋体" w:hAnsi="宋体" w:eastAsia="宋体"/>
          <w:sz w:val="24"/>
        </w:rPr>
        <w:t>0</w:t>
      </w:r>
      <w:r>
        <w:rPr>
          <w:rFonts w:ascii="宋体" w:hAnsi="宋体" w:eastAsia="宋体"/>
          <w:sz w:val="24"/>
        </w:rPr>
        <w:t>---</w:t>
      </w:r>
      <w:r>
        <w:rPr>
          <w:rFonts w:hint="eastAsia" w:ascii="宋体" w:hAnsi="宋体" w:eastAsia="宋体"/>
          <w:sz w:val="24"/>
        </w:rPr>
        <w:t>85分按全年运营费的</w:t>
      </w:r>
      <w:r>
        <w:rPr>
          <w:rFonts w:ascii="宋体" w:hAnsi="宋体" w:eastAsia="宋体"/>
          <w:sz w:val="24"/>
        </w:rPr>
        <w:t>80%</w:t>
      </w:r>
      <w:r>
        <w:rPr>
          <w:rFonts w:hint="eastAsia" w:ascii="宋体" w:hAnsi="宋体" w:eastAsia="宋体"/>
          <w:sz w:val="24"/>
        </w:rPr>
        <w:t>支付，低于</w:t>
      </w:r>
      <w:r>
        <w:rPr>
          <w:rFonts w:ascii="宋体" w:hAnsi="宋体" w:eastAsia="宋体"/>
          <w:sz w:val="24"/>
        </w:rPr>
        <w:t>80</w:t>
      </w:r>
      <w:r>
        <w:rPr>
          <w:rFonts w:hint="eastAsia" w:ascii="宋体" w:hAnsi="宋体" w:eastAsia="宋体"/>
          <w:sz w:val="24"/>
        </w:rPr>
        <w:t>分扣除全年该站点费用。</w:t>
      </w:r>
    </w:p>
    <w:p>
      <w:pPr>
        <w:autoSpaceDE w:val="0"/>
        <w:autoSpaceDN w:val="0"/>
        <w:spacing w:line="360" w:lineRule="auto"/>
        <w:rPr>
          <w:rFonts w:ascii="宋体" w:hAnsi="宋体" w:eastAsia="宋体"/>
          <w:sz w:val="28"/>
          <w:szCs w:val="28"/>
        </w:rPr>
      </w:pPr>
    </w:p>
    <w:p>
      <w:pPr>
        <w:autoSpaceDE w:val="0"/>
        <w:autoSpaceDN w:val="0"/>
        <w:spacing w:line="360" w:lineRule="auto"/>
        <w:jc w:val="center"/>
        <w:rPr>
          <w:rFonts w:ascii="宋体" w:hAnsi="宋体" w:eastAsia="宋体"/>
          <w:b/>
          <w:sz w:val="28"/>
          <w:szCs w:val="28"/>
        </w:rPr>
      </w:pPr>
      <w:r>
        <w:rPr>
          <w:rFonts w:hint="eastAsia" w:ascii="宋体" w:hAnsi="宋体" w:eastAsia="宋体"/>
          <w:b/>
          <w:sz w:val="24"/>
        </w:rPr>
        <w:t>表2  2个国标法小型站</w:t>
      </w:r>
      <w:r>
        <w:rPr>
          <w:rFonts w:ascii="宋体" w:hAnsi="宋体" w:eastAsia="宋体"/>
          <w:b/>
          <w:sz w:val="24"/>
        </w:rPr>
        <w:t>月考核</w:t>
      </w:r>
      <w:r>
        <w:rPr>
          <w:rFonts w:hint="eastAsia" w:ascii="宋体" w:hAnsi="宋体" w:eastAsia="宋体"/>
          <w:b/>
          <w:sz w:val="24"/>
        </w:rPr>
        <w:t>表</w:t>
      </w:r>
    </w:p>
    <w:tbl>
      <w:tblPr>
        <w:tblStyle w:val="26"/>
        <w:tblW w:w="8228" w:type="dxa"/>
        <w:jc w:val="center"/>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4439"/>
        <w:gridCol w:w="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Align w:val="center"/>
          </w:tcPr>
          <w:p>
            <w:pPr>
              <w:autoSpaceDE w:val="0"/>
              <w:autoSpaceDN w:val="0"/>
              <w:jc w:val="center"/>
              <w:rPr>
                <w:rFonts w:ascii="宋体" w:hAnsi="宋体" w:eastAsia="宋体"/>
                <w:szCs w:val="21"/>
              </w:rPr>
            </w:pPr>
            <w:r>
              <w:rPr>
                <w:rFonts w:hint="eastAsia" w:ascii="宋体" w:hAnsi="宋体" w:eastAsia="宋体"/>
                <w:szCs w:val="21"/>
              </w:rPr>
              <w:t>项目</w:t>
            </w:r>
          </w:p>
        </w:tc>
        <w:tc>
          <w:tcPr>
            <w:tcW w:w="4439" w:type="dxa"/>
            <w:vAlign w:val="center"/>
          </w:tcPr>
          <w:p>
            <w:pPr>
              <w:autoSpaceDE w:val="0"/>
              <w:autoSpaceDN w:val="0"/>
              <w:jc w:val="center"/>
              <w:rPr>
                <w:rFonts w:ascii="宋体" w:hAnsi="宋体" w:eastAsia="宋体"/>
                <w:szCs w:val="21"/>
              </w:rPr>
            </w:pPr>
            <w:r>
              <w:rPr>
                <w:rFonts w:hint="eastAsia" w:ascii="宋体" w:hAnsi="宋体" w:eastAsia="宋体"/>
                <w:szCs w:val="21"/>
              </w:rPr>
              <w:t>考核内容</w:t>
            </w:r>
          </w:p>
        </w:tc>
        <w:tc>
          <w:tcPr>
            <w:tcW w:w="850" w:type="dxa"/>
            <w:vAlign w:val="center"/>
          </w:tcPr>
          <w:p>
            <w:pPr>
              <w:autoSpaceDE w:val="0"/>
              <w:autoSpaceDN w:val="0"/>
              <w:jc w:val="center"/>
              <w:rPr>
                <w:rFonts w:ascii="宋体" w:hAnsi="宋体" w:eastAsia="宋体"/>
                <w:szCs w:val="21"/>
              </w:rPr>
            </w:pPr>
            <w:r>
              <w:rPr>
                <w:rFonts w:hint="eastAsia" w:ascii="宋体" w:hAnsi="宋体" w:eastAsia="宋体"/>
                <w:szCs w:val="21"/>
              </w:rPr>
              <w:t>得分</w:t>
            </w:r>
          </w:p>
        </w:tc>
        <w:tc>
          <w:tcPr>
            <w:tcW w:w="1985" w:type="dxa"/>
            <w:vAlign w:val="center"/>
          </w:tcPr>
          <w:p>
            <w:pPr>
              <w:autoSpaceDE w:val="0"/>
              <w:autoSpaceDN w:val="0"/>
              <w:jc w:val="center"/>
              <w:rPr>
                <w:rFonts w:ascii="宋体" w:hAnsi="宋体" w:eastAsia="宋体"/>
                <w:szCs w:val="21"/>
              </w:rPr>
            </w:pPr>
            <w:r>
              <w:rPr>
                <w:rFonts w:hint="eastAsia" w:ascii="宋体" w:hAnsi="宋体" w:eastAsia="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Merge w:val="restart"/>
            <w:vAlign w:val="center"/>
          </w:tcPr>
          <w:p>
            <w:pPr>
              <w:autoSpaceDE w:val="0"/>
              <w:autoSpaceDN w:val="0"/>
              <w:jc w:val="center"/>
              <w:rPr>
                <w:rFonts w:ascii="宋体" w:hAnsi="宋体" w:eastAsia="宋体"/>
                <w:szCs w:val="21"/>
              </w:rPr>
            </w:pPr>
            <w:r>
              <w:rPr>
                <w:rFonts w:hint="eastAsia" w:ascii="宋体" w:hAnsi="宋体" w:eastAsia="宋体"/>
                <w:szCs w:val="21"/>
              </w:rPr>
              <w:t>两率（</w:t>
            </w:r>
            <w:r>
              <w:rPr>
                <w:rFonts w:ascii="宋体" w:hAnsi="宋体" w:eastAsia="宋体"/>
                <w:szCs w:val="21"/>
              </w:rPr>
              <w:t>70</w:t>
            </w:r>
            <w:r>
              <w:rPr>
                <w:rFonts w:hint="eastAsia" w:ascii="宋体" w:hAnsi="宋体" w:eastAsia="宋体"/>
                <w:szCs w:val="21"/>
              </w:rPr>
              <w:t>分）</w:t>
            </w:r>
          </w:p>
        </w:tc>
        <w:tc>
          <w:tcPr>
            <w:tcW w:w="4439" w:type="dxa"/>
            <w:vAlign w:val="center"/>
          </w:tcPr>
          <w:p>
            <w:pPr>
              <w:autoSpaceDE w:val="0"/>
              <w:autoSpaceDN w:val="0"/>
              <w:jc w:val="center"/>
              <w:rPr>
                <w:rFonts w:ascii="宋体" w:hAnsi="宋体" w:eastAsia="宋体"/>
                <w:szCs w:val="21"/>
              </w:rPr>
            </w:pPr>
            <w:r>
              <w:rPr>
                <w:rFonts w:hint="eastAsia" w:ascii="宋体" w:hAnsi="宋体" w:eastAsia="宋体"/>
                <w:szCs w:val="21"/>
              </w:rPr>
              <w:t>运行率（</w:t>
            </w:r>
            <w:r>
              <w:rPr>
                <w:rFonts w:ascii="宋体" w:hAnsi="宋体" w:eastAsia="宋体"/>
                <w:szCs w:val="21"/>
              </w:rPr>
              <w:t>90%</w:t>
            </w:r>
            <w:r>
              <w:rPr>
                <w:rFonts w:hint="eastAsia" w:ascii="宋体" w:hAnsi="宋体" w:eastAsia="宋体"/>
                <w:szCs w:val="21"/>
              </w:rPr>
              <w:t>）（</w:t>
            </w:r>
            <w:r>
              <w:rPr>
                <w:rFonts w:ascii="宋体" w:hAnsi="宋体" w:eastAsia="宋体"/>
                <w:szCs w:val="21"/>
              </w:rPr>
              <w:t>35</w:t>
            </w:r>
            <w:r>
              <w:rPr>
                <w:rFonts w:hint="eastAsia" w:ascii="宋体" w:hAnsi="宋体" w:eastAsia="宋体"/>
                <w:szCs w:val="21"/>
              </w:rPr>
              <w:t>分）。运行率每低1%扣2分</w:t>
            </w:r>
          </w:p>
        </w:tc>
        <w:tc>
          <w:tcPr>
            <w:tcW w:w="850" w:type="dxa"/>
            <w:vAlign w:val="center"/>
          </w:tcPr>
          <w:p>
            <w:pPr>
              <w:autoSpaceDE w:val="0"/>
              <w:autoSpaceDN w:val="0"/>
              <w:jc w:val="center"/>
              <w:rPr>
                <w:rFonts w:ascii="宋体" w:hAnsi="宋体" w:eastAsia="宋体"/>
                <w:szCs w:val="21"/>
              </w:rPr>
            </w:pPr>
          </w:p>
        </w:tc>
        <w:tc>
          <w:tcPr>
            <w:tcW w:w="1985" w:type="dxa"/>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Merge w:val="continue"/>
            <w:vAlign w:val="center"/>
          </w:tcPr>
          <w:p>
            <w:pPr>
              <w:autoSpaceDE w:val="0"/>
              <w:autoSpaceDN w:val="0"/>
              <w:jc w:val="center"/>
              <w:rPr>
                <w:rFonts w:ascii="宋体" w:hAnsi="宋体" w:eastAsia="宋体"/>
                <w:szCs w:val="21"/>
              </w:rPr>
            </w:pPr>
          </w:p>
        </w:tc>
        <w:tc>
          <w:tcPr>
            <w:tcW w:w="4439" w:type="dxa"/>
            <w:vAlign w:val="center"/>
          </w:tcPr>
          <w:p>
            <w:pPr>
              <w:autoSpaceDE w:val="0"/>
              <w:autoSpaceDN w:val="0"/>
              <w:jc w:val="center"/>
              <w:rPr>
                <w:rFonts w:ascii="宋体" w:hAnsi="宋体" w:eastAsia="宋体"/>
                <w:szCs w:val="21"/>
              </w:rPr>
            </w:pPr>
            <w:r>
              <w:rPr>
                <w:rFonts w:hint="eastAsia" w:ascii="宋体" w:hAnsi="宋体" w:eastAsia="宋体"/>
                <w:szCs w:val="21"/>
              </w:rPr>
              <w:t>准确率（</w:t>
            </w:r>
            <w:r>
              <w:rPr>
                <w:rFonts w:ascii="宋体" w:hAnsi="宋体" w:eastAsia="宋体"/>
                <w:szCs w:val="21"/>
              </w:rPr>
              <w:t>90%</w:t>
            </w:r>
            <w:r>
              <w:rPr>
                <w:rFonts w:hint="eastAsia" w:ascii="宋体" w:hAnsi="宋体" w:eastAsia="宋体"/>
                <w:szCs w:val="21"/>
              </w:rPr>
              <w:t>）（</w:t>
            </w:r>
            <w:r>
              <w:rPr>
                <w:rFonts w:ascii="宋体" w:hAnsi="宋体" w:eastAsia="宋体"/>
                <w:szCs w:val="21"/>
              </w:rPr>
              <w:t>35</w:t>
            </w:r>
            <w:r>
              <w:rPr>
                <w:rFonts w:hint="eastAsia" w:ascii="宋体" w:hAnsi="宋体" w:eastAsia="宋体"/>
                <w:szCs w:val="21"/>
              </w:rPr>
              <w:t>分）。准确率每低1%扣2分</w:t>
            </w:r>
          </w:p>
        </w:tc>
        <w:tc>
          <w:tcPr>
            <w:tcW w:w="850" w:type="dxa"/>
            <w:vAlign w:val="center"/>
          </w:tcPr>
          <w:p>
            <w:pPr>
              <w:autoSpaceDE w:val="0"/>
              <w:autoSpaceDN w:val="0"/>
              <w:jc w:val="center"/>
              <w:rPr>
                <w:rFonts w:ascii="宋体" w:hAnsi="宋体" w:eastAsia="宋体"/>
                <w:szCs w:val="21"/>
              </w:rPr>
            </w:pPr>
          </w:p>
        </w:tc>
        <w:tc>
          <w:tcPr>
            <w:tcW w:w="1985" w:type="dxa"/>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Merge w:val="restart"/>
            <w:vAlign w:val="center"/>
          </w:tcPr>
          <w:p>
            <w:pPr>
              <w:autoSpaceDE w:val="0"/>
              <w:autoSpaceDN w:val="0"/>
              <w:jc w:val="center"/>
              <w:rPr>
                <w:rFonts w:ascii="宋体" w:hAnsi="宋体" w:eastAsia="宋体"/>
                <w:szCs w:val="21"/>
              </w:rPr>
            </w:pPr>
            <w:r>
              <w:rPr>
                <w:rFonts w:hint="eastAsia" w:ascii="宋体" w:hAnsi="宋体" w:eastAsia="宋体"/>
                <w:szCs w:val="21"/>
              </w:rPr>
              <w:t>运行维护（</w:t>
            </w:r>
            <w:r>
              <w:rPr>
                <w:rFonts w:ascii="宋体" w:hAnsi="宋体" w:eastAsia="宋体"/>
                <w:szCs w:val="21"/>
              </w:rPr>
              <w:t>30</w:t>
            </w:r>
            <w:r>
              <w:rPr>
                <w:rFonts w:hint="eastAsia" w:ascii="宋体" w:hAnsi="宋体" w:eastAsia="宋体"/>
                <w:szCs w:val="21"/>
              </w:rPr>
              <w:t>分）</w:t>
            </w:r>
          </w:p>
        </w:tc>
        <w:tc>
          <w:tcPr>
            <w:tcW w:w="4439" w:type="dxa"/>
            <w:vAlign w:val="center"/>
          </w:tcPr>
          <w:p>
            <w:pPr>
              <w:autoSpaceDE w:val="0"/>
              <w:autoSpaceDN w:val="0"/>
              <w:jc w:val="center"/>
              <w:rPr>
                <w:rFonts w:ascii="宋体" w:hAnsi="宋体" w:eastAsia="宋体"/>
                <w:szCs w:val="21"/>
              </w:rPr>
            </w:pPr>
            <w:r>
              <w:rPr>
                <w:rFonts w:hint="eastAsia" w:ascii="宋体" w:hAnsi="宋体" w:eastAsia="宋体"/>
                <w:szCs w:val="21"/>
              </w:rPr>
              <w:t>每周巡检一次，填写巡检的各项记录，及时处理和排除故障（</w:t>
            </w:r>
            <w:r>
              <w:rPr>
                <w:rFonts w:ascii="宋体" w:hAnsi="宋体" w:eastAsia="宋体"/>
                <w:szCs w:val="21"/>
              </w:rPr>
              <w:t>4</w:t>
            </w:r>
            <w:r>
              <w:rPr>
                <w:rFonts w:hint="eastAsia" w:ascii="宋体" w:hAnsi="宋体" w:eastAsia="宋体"/>
                <w:szCs w:val="21"/>
              </w:rPr>
              <w:t>分）。无巡检记录的，扣2分；巡检记录不全的，发现一处扣1分，扣完为止</w:t>
            </w:r>
          </w:p>
        </w:tc>
        <w:tc>
          <w:tcPr>
            <w:tcW w:w="850" w:type="dxa"/>
            <w:vAlign w:val="center"/>
          </w:tcPr>
          <w:p>
            <w:pPr>
              <w:autoSpaceDE w:val="0"/>
              <w:autoSpaceDN w:val="0"/>
              <w:jc w:val="center"/>
              <w:rPr>
                <w:rFonts w:ascii="宋体" w:hAnsi="宋体" w:eastAsia="宋体"/>
                <w:szCs w:val="21"/>
              </w:rPr>
            </w:pPr>
          </w:p>
        </w:tc>
        <w:tc>
          <w:tcPr>
            <w:tcW w:w="1985" w:type="dxa"/>
            <w:vAlign w:val="center"/>
          </w:tcPr>
          <w:p>
            <w:pPr>
              <w:widowControl/>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Merge w:val="continue"/>
            <w:vAlign w:val="center"/>
          </w:tcPr>
          <w:p>
            <w:pPr>
              <w:autoSpaceDE w:val="0"/>
              <w:autoSpaceDN w:val="0"/>
              <w:jc w:val="center"/>
              <w:rPr>
                <w:rFonts w:ascii="宋体" w:hAnsi="宋体" w:eastAsia="宋体"/>
                <w:szCs w:val="21"/>
              </w:rPr>
            </w:pPr>
          </w:p>
        </w:tc>
        <w:tc>
          <w:tcPr>
            <w:tcW w:w="4439" w:type="dxa"/>
            <w:vAlign w:val="center"/>
          </w:tcPr>
          <w:p>
            <w:pPr>
              <w:autoSpaceDE w:val="0"/>
              <w:autoSpaceDN w:val="0"/>
              <w:jc w:val="center"/>
              <w:rPr>
                <w:rFonts w:ascii="宋体" w:hAnsi="宋体" w:eastAsia="宋体"/>
                <w:szCs w:val="21"/>
              </w:rPr>
            </w:pPr>
            <w:r>
              <w:rPr>
                <w:rFonts w:hint="eastAsia" w:ascii="宋体" w:hAnsi="宋体" w:eastAsia="宋体"/>
                <w:szCs w:val="21"/>
              </w:rPr>
              <w:t>每周COD、氨氮标准溶液核查一次，填写记录（</w:t>
            </w:r>
            <w:r>
              <w:rPr>
                <w:rFonts w:ascii="宋体" w:hAnsi="宋体" w:eastAsia="宋体"/>
                <w:szCs w:val="21"/>
              </w:rPr>
              <w:t>4</w:t>
            </w:r>
            <w:r>
              <w:rPr>
                <w:rFonts w:hint="eastAsia" w:ascii="宋体" w:hAnsi="宋体" w:eastAsia="宋体"/>
                <w:szCs w:val="21"/>
              </w:rPr>
              <w:t>分）。一项次不合格扣1分，扣完为止。</w:t>
            </w:r>
          </w:p>
        </w:tc>
        <w:tc>
          <w:tcPr>
            <w:tcW w:w="850" w:type="dxa"/>
            <w:vAlign w:val="center"/>
          </w:tcPr>
          <w:p>
            <w:pPr>
              <w:autoSpaceDE w:val="0"/>
              <w:autoSpaceDN w:val="0"/>
              <w:jc w:val="center"/>
              <w:rPr>
                <w:rFonts w:ascii="宋体" w:hAnsi="宋体" w:eastAsia="宋体"/>
                <w:szCs w:val="21"/>
              </w:rPr>
            </w:pPr>
          </w:p>
        </w:tc>
        <w:tc>
          <w:tcPr>
            <w:tcW w:w="1985" w:type="dxa"/>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Merge w:val="continue"/>
            <w:vAlign w:val="center"/>
          </w:tcPr>
          <w:p>
            <w:pPr>
              <w:autoSpaceDE w:val="0"/>
              <w:autoSpaceDN w:val="0"/>
              <w:jc w:val="center"/>
              <w:rPr>
                <w:rFonts w:ascii="宋体" w:hAnsi="宋体" w:eastAsia="宋体"/>
                <w:szCs w:val="21"/>
              </w:rPr>
            </w:pPr>
          </w:p>
        </w:tc>
        <w:tc>
          <w:tcPr>
            <w:tcW w:w="4439" w:type="dxa"/>
            <w:vAlign w:val="center"/>
          </w:tcPr>
          <w:p>
            <w:pPr>
              <w:autoSpaceDE w:val="0"/>
              <w:autoSpaceDN w:val="0"/>
              <w:jc w:val="center"/>
              <w:rPr>
                <w:rFonts w:ascii="宋体" w:hAnsi="宋体" w:eastAsia="宋体"/>
                <w:szCs w:val="21"/>
              </w:rPr>
            </w:pPr>
            <w:r>
              <w:rPr>
                <w:rFonts w:hint="eastAsia" w:ascii="宋体" w:hAnsi="宋体" w:eastAsia="宋体"/>
                <w:szCs w:val="21"/>
              </w:rPr>
              <w:t>每月COD、氨氮、pH、溶解氧人工比对一次，填写记录并出具报告（</w:t>
            </w:r>
            <w:r>
              <w:rPr>
                <w:rFonts w:ascii="宋体" w:hAnsi="宋体" w:eastAsia="宋体"/>
                <w:szCs w:val="21"/>
              </w:rPr>
              <w:t>4</w:t>
            </w:r>
            <w:r>
              <w:rPr>
                <w:rFonts w:hint="eastAsia" w:ascii="宋体" w:hAnsi="宋体" w:eastAsia="宋体"/>
                <w:szCs w:val="21"/>
              </w:rPr>
              <w:t>分）。一项次不合格扣1分，扣完为止。</w:t>
            </w:r>
          </w:p>
        </w:tc>
        <w:tc>
          <w:tcPr>
            <w:tcW w:w="850" w:type="dxa"/>
            <w:vAlign w:val="center"/>
          </w:tcPr>
          <w:p>
            <w:pPr>
              <w:autoSpaceDE w:val="0"/>
              <w:autoSpaceDN w:val="0"/>
              <w:jc w:val="center"/>
              <w:rPr>
                <w:rFonts w:ascii="宋体" w:hAnsi="宋体" w:eastAsia="宋体"/>
                <w:szCs w:val="21"/>
              </w:rPr>
            </w:pPr>
          </w:p>
        </w:tc>
        <w:tc>
          <w:tcPr>
            <w:tcW w:w="1985" w:type="dxa"/>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Merge w:val="continue"/>
            <w:vAlign w:val="center"/>
          </w:tcPr>
          <w:p>
            <w:pPr>
              <w:autoSpaceDE w:val="0"/>
              <w:autoSpaceDN w:val="0"/>
              <w:jc w:val="center"/>
              <w:rPr>
                <w:rFonts w:ascii="宋体" w:hAnsi="宋体" w:eastAsia="宋体"/>
                <w:szCs w:val="21"/>
              </w:rPr>
            </w:pPr>
          </w:p>
        </w:tc>
        <w:tc>
          <w:tcPr>
            <w:tcW w:w="4439" w:type="dxa"/>
            <w:vAlign w:val="center"/>
          </w:tcPr>
          <w:p>
            <w:pPr>
              <w:autoSpaceDE w:val="0"/>
              <w:autoSpaceDN w:val="0"/>
              <w:jc w:val="center"/>
              <w:rPr>
                <w:rFonts w:ascii="宋体" w:hAnsi="宋体" w:eastAsia="宋体"/>
                <w:szCs w:val="21"/>
              </w:rPr>
            </w:pPr>
            <w:r>
              <w:rPr>
                <w:rFonts w:ascii="宋体" w:hAnsi="宋体" w:eastAsia="宋体"/>
                <w:szCs w:val="21"/>
              </w:rPr>
              <w:t>24</w:t>
            </w:r>
            <w:r>
              <w:rPr>
                <w:rFonts w:hint="eastAsia" w:ascii="宋体" w:hAnsi="宋体" w:eastAsia="宋体"/>
                <w:szCs w:val="21"/>
              </w:rPr>
              <w:t>小时服务，出现故障及时处理（</w:t>
            </w:r>
            <w:r>
              <w:rPr>
                <w:rFonts w:ascii="宋体" w:hAnsi="宋体" w:eastAsia="宋体"/>
                <w:szCs w:val="21"/>
              </w:rPr>
              <w:t>4</w:t>
            </w:r>
            <w:r>
              <w:rPr>
                <w:rFonts w:hint="eastAsia" w:ascii="宋体" w:hAnsi="宋体" w:eastAsia="宋体"/>
                <w:szCs w:val="21"/>
              </w:rPr>
              <w:t>分）。一次不及时扣1分，扣完为止。</w:t>
            </w:r>
          </w:p>
        </w:tc>
        <w:tc>
          <w:tcPr>
            <w:tcW w:w="850" w:type="dxa"/>
            <w:vAlign w:val="center"/>
          </w:tcPr>
          <w:p>
            <w:pPr>
              <w:autoSpaceDE w:val="0"/>
              <w:autoSpaceDN w:val="0"/>
              <w:jc w:val="center"/>
              <w:rPr>
                <w:rFonts w:ascii="宋体" w:hAnsi="宋体" w:eastAsia="宋体"/>
                <w:szCs w:val="21"/>
              </w:rPr>
            </w:pPr>
          </w:p>
        </w:tc>
        <w:tc>
          <w:tcPr>
            <w:tcW w:w="1985" w:type="dxa"/>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Merge w:val="continue"/>
            <w:vAlign w:val="center"/>
          </w:tcPr>
          <w:p>
            <w:pPr>
              <w:autoSpaceDE w:val="0"/>
              <w:autoSpaceDN w:val="0"/>
              <w:jc w:val="center"/>
              <w:rPr>
                <w:rFonts w:ascii="宋体" w:hAnsi="宋体" w:eastAsia="宋体"/>
                <w:szCs w:val="21"/>
              </w:rPr>
            </w:pPr>
          </w:p>
        </w:tc>
        <w:tc>
          <w:tcPr>
            <w:tcW w:w="4439" w:type="dxa"/>
            <w:vAlign w:val="center"/>
          </w:tcPr>
          <w:p>
            <w:pPr>
              <w:autoSpaceDE w:val="0"/>
              <w:autoSpaceDN w:val="0"/>
              <w:jc w:val="center"/>
              <w:rPr>
                <w:rFonts w:ascii="宋体" w:hAnsi="宋体" w:eastAsia="宋体"/>
                <w:szCs w:val="21"/>
              </w:rPr>
            </w:pPr>
            <w:r>
              <w:rPr>
                <w:rFonts w:ascii="宋体" w:hAnsi="宋体" w:eastAsia="宋体"/>
                <w:szCs w:val="21"/>
              </w:rPr>
              <w:t>48</w:t>
            </w:r>
            <w:r>
              <w:rPr>
                <w:rFonts w:hint="eastAsia" w:ascii="宋体" w:hAnsi="宋体" w:eastAsia="宋体"/>
                <w:szCs w:val="21"/>
              </w:rPr>
              <w:t>小时服务，出现故障及时处理（</w:t>
            </w:r>
            <w:r>
              <w:rPr>
                <w:rFonts w:ascii="宋体" w:hAnsi="宋体" w:eastAsia="宋体"/>
                <w:szCs w:val="21"/>
              </w:rPr>
              <w:t>6</w:t>
            </w:r>
            <w:r>
              <w:rPr>
                <w:rFonts w:hint="eastAsia" w:ascii="宋体" w:hAnsi="宋体" w:eastAsia="宋体"/>
                <w:szCs w:val="21"/>
              </w:rPr>
              <w:t>分）。一次不及时扣2分，扣完为止。</w:t>
            </w:r>
          </w:p>
        </w:tc>
        <w:tc>
          <w:tcPr>
            <w:tcW w:w="850" w:type="dxa"/>
            <w:vAlign w:val="center"/>
          </w:tcPr>
          <w:p>
            <w:pPr>
              <w:autoSpaceDE w:val="0"/>
              <w:autoSpaceDN w:val="0"/>
              <w:jc w:val="center"/>
              <w:rPr>
                <w:rFonts w:ascii="宋体" w:hAnsi="宋体" w:eastAsia="宋体"/>
                <w:szCs w:val="21"/>
              </w:rPr>
            </w:pPr>
          </w:p>
        </w:tc>
        <w:tc>
          <w:tcPr>
            <w:tcW w:w="1985" w:type="dxa"/>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Merge w:val="continue"/>
            <w:vAlign w:val="center"/>
          </w:tcPr>
          <w:p>
            <w:pPr>
              <w:autoSpaceDE w:val="0"/>
              <w:autoSpaceDN w:val="0"/>
              <w:jc w:val="center"/>
              <w:rPr>
                <w:rFonts w:ascii="宋体" w:hAnsi="宋体" w:eastAsia="宋体"/>
                <w:szCs w:val="21"/>
              </w:rPr>
            </w:pPr>
          </w:p>
        </w:tc>
        <w:tc>
          <w:tcPr>
            <w:tcW w:w="4439" w:type="dxa"/>
            <w:vAlign w:val="center"/>
          </w:tcPr>
          <w:p>
            <w:pPr>
              <w:autoSpaceDE w:val="0"/>
              <w:autoSpaceDN w:val="0"/>
              <w:jc w:val="center"/>
              <w:rPr>
                <w:rFonts w:ascii="宋体" w:hAnsi="宋体" w:eastAsia="宋体"/>
                <w:szCs w:val="21"/>
              </w:rPr>
            </w:pPr>
            <w:r>
              <w:rPr>
                <w:rFonts w:hint="eastAsia" w:ascii="宋体" w:hAnsi="宋体" w:eastAsia="宋体"/>
                <w:szCs w:val="21"/>
              </w:rPr>
              <w:t>质量控制：记录完整，每月COD、氨氮标准溶液核查，每季度COD、氨氮、pH、溶解氧人工比对（8分）。巡检记录不全的，发现一处扣1分，标准溶液核查一项次不合格扣1分，比对一项次不合格扣2分。</w:t>
            </w:r>
          </w:p>
        </w:tc>
        <w:tc>
          <w:tcPr>
            <w:tcW w:w="850" w:type="dxa"/>
            <w:vAlign w:val="center"/>
          </w:tcPr>
          <w:p>
            <w:pPr>
              <w:autoSpaceDE w:val="0"/>
              <w:autoSpaceDN w:val="0"/>
              <w:jc w:val="center"/>
              <w:rPr>
                <w:rFonts w:ascii="宋体" w:hAnsi="宋体" w:eastAsia="宋体"/>
                <w:szCs w:val="21"/>
              </w:rPr>
            </w:pPr>
          </w:p>
        </w:tc>
        <w:tc>
          <w:tcPr>
            <w:tcW w:w="1985" w:type="dxa"/>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3" w:type="dxa"/>
            <w:gridSpan w:val="2"/>
            <w:vAlign w:val="center"/>
          </w:tcPr>
          <w:p>
            <w:pPr>
              <w:autoSpaceDE w:val="0"/>
              <w:autoSpaceDN w:val="0"/>
              <w:jc w:val="center"/>
              <w:rPr>
                <w:rFonts w:ascii="宋体" w:hAnsi="宋体" w:eastAsia="宋体"/>
                <w:szCs w:val="21"/>
              </w:rPr>
            </w:pPr>
            <w:r>
              <w:rPr>
                <w:rFonts w:hint="eastAsia" w:ascii="宋体" w:hAnsi="宋体" w:eastAsia="宋体"/>
                <w:szCs w:val="21"/>
              </w:rPr>
              <w:t>总计</w:t>
            </w:r>
          </w:p>
        </w:tc>
        <w:tc>
          <w:tcPr>
            <w:tcW w:w="850" w:type="dxa"/>
            <w:vAlign w:val="center"/>
          </w:tcPr>
          <w:p>
            <w:pPr>
              <w:autoSpaceDE w:val="0"/>
              <w:autoSpaceDN w:val="0"/>
              <w:jc w:val="center"/>
              <w:rPr>
                <w:rFonts w:ascii="宋体" w:hAnsi="宋体" w:eastAsia="宋体"/>
                <w:szCs w:val="21"/>
              </w:rPr>
            </w:pPr>
          </w:p>
        </w:tc>
        <w:tc>
          <w:tcPr>
            <w:tcW w:w="1985" w:type="dxa"/>
            <w:vAlign w:val="center"/>
          </w:tcPr>
          <w:p>
            <w:pPr>
              <w:autoSpaceDE w:val="0"/>
              <w:autoSpaceDN w:val="0"/>
              <w:jc w:val="center"/>
              <w:rPr>
                <w:rFonts w:ascii="宋体" w:hAnsi="宋体" w:eastAsia="宋体"/>
                <w:szCs w:val="21"/>
              </w:rPr>
            </w:pPr>
          </w:p>
        </w:tc>
      </w:tr>
    </w:tbl>
    <w:p>
      <w:pPr>
        <w:spacing w:line="360" w:lineRule="auto"/>
        <w:rPr>
          <w:rFonts w:ascii="宋体" w:hAnsi="宋体" w:eastAsia="宋体"/>
          <w:sz w:val="24"/>
        </w:rPr>
      </w:pPr>
      <w:r>
        <w:rPr>
          <w:rFonts w:hint="eastAsia" w:ascii="宋体" w:hAnsi="宋体" w:eastAsia="宋体" w:cs="宋体"/>
          <w:sz w:val="24"/>
        </w:rPr>
        <w:t>注：表中各项按分项进行扣分，分项分数扣完为止，不从总分中扣除</w:t>
      </w:r>
      <w:r>
        <w:rPr>
          <w:rFonts w:hint="eastAsia" w:ascii="宋体" w:hAnsi="宋体" w:eastAsia="宋体" w:cs="宋体"/>
          <w:sz w:val="24"/>
          <w:lang w:val="en-GB"/>
        </w:rPr>
        <w:t>。</w:t>
      </w:r>
    </w:p>
    <w:p>
      <w:pPr>
        <w:autoSpaceDE w:val="0"/>
        <w:autoSpaceDN w:val="0"/>
        <w:spacing w:line="360" w:lineRule="auto"/>
        <w:rPr>
          <w:rFonts w:ascii="宋体" w:hAnsi="宋体" w:eastAsia="宋体"/>
          <w:sz w:val="28"/>
          <w:szCs w:val="28"/>
        </w:rPr>
      </w:pPr>
    </w:p>
    <w:p>
      <w:pPr>
        <w:autoSpaceDE w:val="0"/>
        <w:autoSpaceDN w:val="0"/>
        <w:spacing w:line="360" w:lineRule="auto"/>
        <w:rPr>
          <w:rFonts w:ascii="宋体" w:hAnsi="宋体" w:eastAsia="宋体"/>
          <w:sz w:val="28"/>
          <w:szCs w:val="28"/>
        </w:rPr>
      </w:pPr>
    </w:p>
    <w:p>
      <w:pPr>
        <w:autoSpaceDE w:val="0"/>
        <w:autoSpaceDN w:val="0"/>
        <w:spacing w:line="360" w:lineRule="auto"/>
        <w:rPr>
          <w:rFonts w:ascii="宋体" w:hAnsi="宋体" w:eastAsia="宋体"/>
          <w:sz w:val="28"/>
          <w:szCs w:val="28"/>
        </w:rPr>
      </w:pPr>
    </w:p>
    <w:p>
      <w:pPr>
        <w:autoSpaceDE w:val="0"/>
        <w:autoSpaceDN w:val="0"/>
        <w:spacing w:line="360" w:lineRule="auto"/>
        <w:rPr>
          <w:rFonts w:ascii="宋体" w:hAnsi="宋体" w:eastAsia="宋体"/>
          <w:sz w:val="28"/>
          <w:szCs w:val="28"/>
        </w:rPr>
      </w:pPr>
    </w:p>
    <w:p>
      <w:pPr>
        <w:autoSpaceDE w:val="0"/>
        <w:autoSpaceDN w:val="0"/>
        <w:spacing w:line="360" w:lineRule="auto"/>
        <w:rPr>
          <w:rFonts w:ascii="宋体" w:hAnsi="宋体" w:eastAsia="宋体"/>
          <w:sz w:val="28"/>
          <w:szCs w:val="28"/>
        </w:rPr>
      </w:pPr>
    </w:p>
    <w:p>
      <w:pPr>
        <w:autoSpaceDE w:val="0"/>
        <w:autoSpaceDN w:val="0"/>
        <w:spacing w:line="360" w:lineRule="auto"/>
        <w:rPr>
          <w:rFonts w:ascii="宋体" w:hAnsi="宋体" w:eastAsia="宋体"/>
          <w:sz w:val="28"/>
          <w:szCs w:val="28"/>
        </w:rPr>
      </w:pPr>
    </w:p>
    <w:p>
      <w:pPr>
        <w:widowControl/>
        <w:spacing w:line="360" w:lineRule="auto"/>
        <w:jc w:val="left"/>
        <w:rPr>
          <w:rFonts w:ascii="宋体" w:hAnsi="宋体" w:eastAsia="宋体"/>
          <w:b/>
          <w:sz w:val="36"/>
          <w:szCs w:val="36"/>
        </w:rPr>
      </w:pPr>
      <w:r>
        <w:rPr>
          <w:rFonts w:ascii="宋体" w:hAnsi="宋体" w:eastAsia="宋体"/>
          <w:b/>
          <w:sz w:val="36"/>
          <w:szCs w:val="36"/>
        </w:rPr>
        <w:br w:type="page"/>
      </w:r>
    </w:p>
    <w:p>
      <w:pPr>
        <w:spacing w:line="360" w:lineRule="auto"/>
        <w:rPr>
          <w:rFonts w:ascii="宋体" w:hAnsi="宋体" w:eastAsia="宋体" w:cstheme="minorEastAsia"/>
          <w:b/>
          <w:sz w:val="32"/>
          <w:szCs w:val="32"/>
        </w:rPr>
      </w:pPr>
      <w:r>
        <w:rPr>
          <w:rFonts w:hint="eastAsia" w:ascii="宋体" w:hAnsi="宋体" w:eastAsia="宋体" w:cstheme="minorEastAsia"/>
          <w:b/>
          <w:sz w:val="32"/>
          <w:szCs w:val="32"/>
        </w:rPr>
        <w:t>B包：非国标法微型站建设内容</w:t>
      </w:r>
    </w:p>
    <w:p>
      <w:pPr>
        <w:spacing w:line="360" w:lineRule="auto"/>
        <w:rPr>
          <w:rFonts w:ascii="宋体" w:hAnsi="宋体" w:eastAsia="宋体" w:cstheme="minorEastAsia"/>
          <w:b/>
          <w:sz w:val="30"/>
          <w:szCs w:val="30"/>
        </w:rPr>
      </w:pPr>
      <w:r>
        <w:rPr>
          <w:rFonts w:hint="eastAsia" w:ascii="宋体" w:hAnsi="宋体" w:eastAsia="宋体" w:cstheme="minorEastAsia"/>
          <w:b/>
          <w:sz w:val="30"/>
          <w:szCs w:val="30"/>
        </w:rPr>
        <w:t>一、项目概述</w:t>
      </w:r>
    </w:p>
    <w:p>
      <w:pPr>
        <w:spacing w:line="360" w:lineRule="auto"/>
        <w:ind w:firstLine="480" w:firstLineChars="200"/>
        <w:rPr>
          <w:rFonts w:ascii="宋体" w:hAnsi="宋体" w:eastAsia="宋体" w:cstheme="minorEastAsia"/>
          <w:sz w:val="24"/>
        </w:rPr>
      </w:pPr>
      <w:r>
        <w:rPr>
          <w:rFonts w:hint="eastAsia" w:ascii="宋体" w:hAnsi="宋体" w:eastAsia="宋体" w:cstheme="minorEastAsia"/>
          <w:sz w:val="24"/>
        </w:rPr>
        <w:t>拟在小清河板桥、洪园闸、</w:t>
      </w:r>
      <w:r>
        <w:rPr>
          <w:rFonts w:hint="eastAsia" w:ascii="宋体" w:hAnsi="宋体" w:eastAsia="宋体" w:cstheme="minorEastAsia"/>
          <w:kern w:val="0"/>
          <w:sz w:val="24"/>
        </w:rPr>
        <w:t>辛丰庄3</w:t>
      </w:r>
      <w:r>
        <w:rPr>
          <w:rFonts w:hint="eastAsia" w:ascii="宋体" w:hAnsi="宋体" w:eastAsia="宋体" w:cstheme="minorEastAsia"/>
          <w:sz w:val="24"/>
        </w:rPr>
        <w:t>个断面和全市7个水量较大的断面建设非国标法微型站，化学需氧量采用UV法，氨氮采用离子选择电极法。监测指标为：化学需氧量、氨氮、PH、温度、溶解氧、电导率、浊度。</w:t>
      </w:r>
    </w:p>
    <w:p>
      <w:pPr>
        <w:spacing w:line="360" w:lineRule="auto"/>
        <w:ind w:firstLine="480" w:firstLineChars="200"/>
        <w:rPr>
          <w:rFonts w:ascii="宋体" w:hAnsi="宋体" w:eastAsia="宋体"/>
          <w:sz w:val="24"/>
        </w:rPr>
      </w:pPr>
      <w:r>
        <w:rPr>
          <w:rFonts w:hint="eastAsia" w:ascii="宋体" w:hAnsi="宋体" w:eastAsia="宋体"/>
          <w:sz w:val="24"/>
        </w:rPr>
        <w:t>项目采购采用政府招标形式，建设采用BO模式，中标商负责出资进行项目建设及运营维护，</w:t>
      </w:r>
      <w:r>
        <w:rPr>
          <w:rFonts w:ascii="宋体" w:hAnsi="宋体" w:eastAsia="宋体"/>
          <w:sz w:val="24"/>
        </w:rPr>
        <w:t>出具合格的监测数据</w:t>
      </w:r>
      <w:r>
        <w:rPr>
          <w:rFonts w:hint="eastAsia" w:ascii="宋体" w:hAnsi="宋体" w:eastAsia="宋体"/>
          <w:sz w:val="24"/>
        </w:rPr>
        <w:t>；济南市生态环境局</w:t>
      </w:r>
      <w:r>
        <w:rPr>
          <w:rFonts w:ascii="宋体" w:hAnsi="宋体" w:eastAsia="宋体"/>
          <w:sz w:val="24"/>
        </w:rPr>
        <w:t>对运营单位进行考核管理，出资购买符合质量要求的监测数据，监测数据归</w:t>
      </w:r>
      <w:r>
        <w:rPr>
          <w:rFonts w:hint="eastAsia" w:ascii="宋体" w:hAnsi="宋体" w:eastAsia="宋体"/>
          <w:sz w:val="24"/>
        </w:rPr>
        <w:t>济南市生态环境局</w:t>
      </w:r>
      <w:r>
        <w:rPr>
          <w:rFonts w:ascii="宋体" w:hAnsi="宋体" w:eastAsia="宋体"/>
          <w:sz w:val="24"/>
        </w:rPr>
        <w:t>所有。</w:t>
      </w:r>
    </w:p>
    <w:p>
      <w:pPr>
        <w:spacing w:line="360" w:lineRule="auto"/>
        <w:ind w:firstLine="480" w:firstLineChars="200"/>
        <w:rPr>
          <w:rFonts w:ascii="宋体" w:hAnsi="宋体" w:eastAsia="宋体" w:cstheme="minorEastAsia"/>
          <w:sz w:val="24"/>
        </w:rPr>
      </w:pPr>
      <w:r>
        <w:rPr>
          <w:rFonts w:hint="eastAsia" w:ascii="宋体" w:hAnsi="宋体" w:eastAsia="宋体"/>
          <w:sz w:val="24"/>
        </w:rPr>
        <w:t>项目建设完成、验收后，济南市生态环境局与项目中标商签订一年服务合同，如当年考核得分在</w:t>
      </w:r>
      <w:r>
        <w:rPr>
          <w:rFonts w:ascii="宋体" w:hAnsi="宋体" w:eastAsia="宋体"/>
          <w:sz w:val="24"/>
        </w:rPr>
        <w:t>80</w:t>
      </w:r>
      <w:r>
        <w:rPr>
          <w:rFonts w:hint="eastAsia" w:ascii="宋体" w:hAnsi="宋体" w:eastAsia="宋体"/>
          <w:sz w:val="24"/>
        </w:rPr>
        <w:t>分以上（含），则第二年续签，以此类推，可续签至五年，之后经双方协商，选择是否续签。</w:t>
      </w:r>
    </w:p>
    <w:p>
      <w:pPr>
        <w:spacing w:line="360" w:lineRule="auto"/>
        <w:ind w:firstLine="480" w:firstLineChars="200"/>
        <w:rPr>
          <w:rFonts w:ascii="宋体" w:hAnsi="宋体" w:eastAsia="宋体" w:cstheme="minorEastAsia"/>
          <w:sz w:val="24"/>
        </w:rPr>
      </w:pPr>
      <w:r>
        <w:rPr>
          <w:rFonts w:hint="eastAsia" w:ascii="宋体" w:hAnsi="宋体" w:eastAsia="宋体" w:cstheme="minorEastAsia"/>
          <w:sz w:val="24"/>
        </w:rPr>
        <w:t>非国标法微型站占地面积小于1平方米；采用太阳能供电；监测频率高（可每30分钟监测一次）；监测不用化学试剂，没有二次污染。</w:t>
      </w:r>
    </w:p>
    <w:p>
      <w:pPr>
        <w:spacing w:line="360" w:lineRule="auto"/>
        <w:rPr>
          <w:rFonts w:ascii="宋体" w:hAnsi="宋体" w:eastAsia="宋体"/>
          <w:b/>
          <w:sz w:val="30"/>
          <w:szCs w:val="30"/>
        </w:rPr>
      </w:pPr>
      <w:r>
        <w:rPr>
          <w:rFonts w:hint="eastAsia" w:ascii="宋体" w:hAnsi="宋体" w:eastAsia="宋体"/>
          <w:b/>
          <w:sz w:val="30"/>
          <w:szCs w:val="30"/>
        </w:rPr>
        <w:t>二、</w:t>
      </w:r>
      <w:r>
        <w:rPr>
          <w:rFonts w:ascii="宋体" w:hAnsi="宋体" w:eastAsia="宋体"/>
          <w:b/>
          <w:sz w:val="30"/>
          <w:szCs w:val="30"/>
        </w:rPr>
        <w:t>系统</w:t>
      </w:r>
      <w:r>
        <w:rPr>
          <w:rFonts w:hint="eastAsia" w:ascii="宋体" w:hAnsi="宋体" w:eastAsia="宋体"/>
          <w:b/>
          <w:sz w:val="30"/>
          <w:szCs w:val="30"/>
        </w:rPr>
        <w:t>构成</w:t>
      </w:r>
    </w:p>
    <w:p>
      <w:pPr>
        <w:spacing w:line="360" w:lineRule="auto"/>
        <w:ind w:firstLine="480" w:firstLineChars="200"/>
        <w:rPr>
          <w:rFonts w:ascii="宋体" w:hAnsi="宋体" w:eastAsia="宋体"/>
          <w:sz w:val="24"/>
        </w:rPr>
      </w:pPr>
      <w:r>
        <w:rPr>
          <w:rFonts w:ascii="宋体" w:hAnsi="宋体" w:eastAsia="宋体"/>
          <w:sz w:val="24"/>
        </w:rPr>
        <w:t>水质自动监</w:t>
      </w:r>
      <w:r>
        <w:rPr>
          <w:rFonts w:hint="eastAsia" w:ascii="宋体" w:hAnsi="宋体" w:eastAsia="宋体"/>
          <w:sz w:val="24"/>
        </w:rPr>
        <w:t>测</w:t>
      </w:r>
      <w:r>
        <w:rPr>
          <w:rFonts w:ascii="宋体" w:hAnsi="宋体" w:eastAsia="宋体"/>
          <w:sz w:val="24"/>
        </w:rPr>
        <w:t>系统由</w:t>
      </w:r>
      <w:r>
        <w:rPr>
          <w:rFonts w:hint="eastAsia" w:ascii="宋体" w:hAnsi="宋体" w:eastAsia="宋体"/>
          <w:sz w:val="24"/>
        </w:rPr>
        <w:t>一体化户外机</w:t>
      </w:r>
      <w:r>
        <w:rPr>
          <w:rFonts w:ascii="宋体" w:hAnsi="宋体" w:eastAsia="宋体"/>
          <w:sz w:val="24"/>
        </w:rPr>
        <w:t>、</w:t>
      </w:r>
      <w:r>
        <w:rPr>
          <w:rFonts w:hint="eastAsia" w:ascii="宋体" w:hAnsi="宋体" w:eastAsia="宋体"/>
          <w:sz w:val="24"/>
        </w:rPr>
        <w:t>自动分析仪器、</w:t>
      </w:r>
      <w:r>
        <w:rPr>
          <w:rFonts w:ascii="宋体" w:hAnsi="宋体" w:eastAsia="宋体"/>
          <w:sz w:val="24"/>
        </w:rPr>
        <w:t>分析</w:t>
      </w:r>
      <w:r>
        <w:rPr>
          <w:rFonts w:hint="eastAsia" w:ascii="宋体" w:hAnsi="宋体" w:eastAsia="宋体"/>
          <w:sz w:val="24"/>
        </w:rPr>
        <w:t>部分、</w:t>
      </w:r>
      <w:r>
        <w:rPr>
          <w:rFonts w:ascii="宋体" w:hAnsi="宋体" w:eastAsia="宋体"/>
          <w:sz w:val="24"/>
        </w:rPr>
        <w:t>测控部分</w:t>
      </w:r>
      <w:r>
        <w:rPr>
          <w:rFonts w:hint="eastAsia" w:ascii="宋体" w:hAnsi="宋体" w:eastAsia="宋体"/>
          <w:sz w:val="24"/>
        </w:rPr>
        <w:t>、</w:t>
      </w:r>
      <w:r>
        <w:rPr>
          <w:rFonts w:ascii="宋体" w:hAnsi="宋体" w:eastAsia="宋体"/>
          <w:sz w:val="24"/>
        </w:rPr>
        <w:t>运行环境支持部分组成，</w:t>
      </w:r>
      <w:r>
        <w:rPr>
          <w:rFonts w:hint="eastAsia" w:ascii="宋体" w:hAnsi="宋体" w:eastAsia="宋体"/>
          <w:sz w:val="24"/>
        </w:rPr>
        <w:t>监测化学需氧量、</w:t>
      </w:r>
      <w:r>
        <w:rPr>
          <w:rFonts w:ascii="宋体" w:hAnsi="宋体" w:eastAsia="宋体"/>
          <w:sz w:val="24"/>
        </w:rPr>
        <w:t>氨氮、</w:t>
      </w:r>
      <w:r>
        <w:rPr>
          <w:rFonts w:hint="eastAsia" w:ascii="宋体" w:hAnsi="宋体" w:eastAsia="宋体"/>
          <w:sz w:val="24"/>
        </w:rPr>
        <w:t>pH、水温、</w:t>
      </w:r>
      <w:r>
        <w:rPr>
          <w:rFonts w:ascii="宋体" w:hAnsi="宋体" w:eastAsia="宋体"/>
          <w:sz w:val="24"/>
        </w:rPr>
        <w:t>溶解氧</w:t>
      </w:r>
      <w:r>
        <w:rPr>
          <w:rFonts w:hint="eastAsia" w:ascii="宋体" w:hAnsi="宋体" w:eastAsia="宋体"/>
          <w:sz w:val="24"/>
        </w:rPr>
        <w:t>、</w:t>
      </w:r>
      <w:r>
        <w:rPr>
          <w:rFonts w:ascii="宋体" w:hAnsi="宋体" w:eastAsia="宋体"/>
          <w:sz w:val="24"/>
        </w:rPr>
        <w:t>电导率和</w:t>
      </w:r>
      <w:r>
        <w:rPr>
          <w:rFonts w:hint="eastAsia" w:ascii="宋体" w:hAnsi="宋体" w:eastAsia="宋体"/>
          <w:sz w:val="24"/>
        </w:rPr>
        <w:t>浊度共7</w:t>
      </w:r>
      <w:r>
        <w:rPr>
          <w:rFonts w:ascii="宋体" w:hAnsi="宋体" w:eastAsia="宋体"/>
          <w:sz w:val="24"/>
        </w:rPr>
        <w:t>个参数</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站房</w:t>
      </w:r>
      <w:r>
        <w:rPr>
          <w:rFonts w:ascii="宋体" w:hAnsi="宋体" w:eastAsia="宋体"/>
          <w:sz w:val="24"/>
        </w:rPr>
        <w:t>采用</w:t>
      </w:r>
      <w:r>
        <w:rPr>
          <w:rFonts w:hint="eastAsia" w:ascii="宋体" w:hAnsi="宋体" w:eastAsia="宋体"/>
          <w:sz w:val="24"/>
        </w:rPr>
        <w:t>一体化户外机</w:t>
      </w:r>
      <w:r>
        <w:rPr>
          <w:rFonts w:ascii="宋体" w:hAnsi="宋体" w:eastAsia="宋体"/>
          <w:sz w:val="24"/>
        </w:rPr>
        <w:t>，</w:t>
      </w:r>
      <w:r>
        <w:rPr>
          <w:rFonts w:hint="eastAsia" w:ascii="宋体" w:hAnsi="宋体" w:eastAsia="宋体"/>
          <w:sz w:val="24"/>
        </w:rPr>
        <w:t>占地</w:t>
      </w:r>
      <w:r>
        <w:rPr>
          <w:rFonts w:ascii="宋体" w:hAnsi="宋体" w:eastAsia="宋体"/>
          <w:sz w:val="24"/>
        </w:rPr>
        <w:t>面积</w:t>
      </w:r>
      <w:r>
        <w:rPr>
          <w:rFonts w:hint="eastAsia" w:ascii="宋体" w:hAnsi="宋体" w:eastAsia="宋体" w:cs="宋体"/>
          <w:sz w:val="24"/>
        </w:rPr>
        <w:t>≦</w:t>
      </w:r>
      <w:r>
        <w:rPr>
          <w:rFonts w:hint="eastAsia" w:ascii="宋体" w:hAnsi="宋体" w:eastAsia="宋体"/>
          <w:sz w:val="24"/>
        </w:rPr>
        <w:t>1</w:t>
      </w:r>
      <w:r>
        <w:rPr>
          <w:rFonts w:ascii="宋体" w:hAnsi="宋体" w:eastAsia="宋体"/>
          <w:sz w:val="24"/>
        </w:rPr>
        <w:t>m</w:t>
      </w:r>
      <w:r>
        <w:rPr>
          <w:rFonts w:ascii="宋体" w:hAnsi="宋体" w:eastAsia="宋体"/>
          <w:sz w:val="24"/>
          <w:vertAlign w:val="superscript"/>
        </w:rPr>
        <w:t>2</w:t>
      </w:r>
      <w:r>
        <w:rPr>
          <w:rFonts w:ascii="宋体" w:hAnsi="宋体" w:eastAsia="宋体"/>
          <w:sz w:val="24"/>
        </w:rPr>
        <w:t>。</w:t>
      </w:r>
      <w:r>
        <w:rPr>
          <w:rFonts w:hint="eastAsia" w:ascii="宋体" w:hAnsi="宋体" w:eastAsia="宋体"/>
          <w:sz w:val="24"/>
        </w:rPr>
        <w:t>自动分析仪器包括化学需氧量、</w:t>
      </w:r>
      <w:r>
        <w:rPr>
          <w:rFonts w:ascii="宋体" w:hAnsi="宋体" w:eastAsia="宋体"/>
          <w:sz w:val="24"/>
        </w:rPr>
        <w:t>氨氮、</w:t>
      </w:r>
      <w:r>
        <w:rPr>
          <w:rFonts w:hint="eastAsia" w:ascii="宋体" w:hAnsi="宋体" w:eastAsia="宋体"/>
          <w:sz w:val="24"/>
        </w:rPr>
        <w:t>pH、水温、</w:t>
      </w:r>
      <w:r>
        <w:rPr>
          <w:rFonts w:ascii="宋体" w:hAnsi="宋体" w:eastAsia="宋体"/>
          <w:sz w:val="24"/>
        </w:rPr>
        <w:t>溶解氧</w:t>
      </w:r>
      <w:r>
        <w:rPr>
          <w:rFonts w:hint="eastAsia" w:ascii="宋体" w:hAnsi="宋体" w:eastAsia="宋体"/>
          <w:sz w:val="24"/>
        </w:rPr>
        <w:t>、</w:t>
      </w:r>
      <w:r>
        <w:rPr>
          <w:rFonts w:ascii="宋体" w:hAnsi="宋体" w:eastAsia="宋体"/>
          <w:sz w:val="24"/>
        </w:rPr>
        <w:t>电导率和</w:t>
      </w:r>
      <w:r>
        <w:rPr>
          <w:rFonts w:hint="eastAsia" w:ascii="宋体" w:hAnsi="宋体" w:eastAsia="宋体"/>
          <w:sz w:val="24"/>
        </w:rPr>
        <w:t>浊度仪器；</w:t>
      </w:r>
      <w:r>
        <w:rPr>
          <w:rFonts w:ascii="宋体" w:hAnsi="宋体" w:eastAsia="宋体"/>
          <w:sz w:val="24"/>
        </w:rPr>
        <w:t>分析部分包括取水单元、配水单元、传输单元、预处理单元和分析仪表单元，辅助分析部分包括清洗单元、除藻清洗单元</w:t>
      </w:r>
      <w:r>
        <w:rPr>
          <w:rFonts w:hint="eastAsia" w:ascii="宋体" w:hAnsi="宋体" w:eastAsia="宋体"/>
          <w:sz w:val="24"/>
        </w:rPr>
        <w:t>；</w:t>
      </w:r>
      <w:r>
        <w:rPr>
          <w:rFonts w:ascii="宋体" w:hAnsi="宋体" w:eastAsia="宋体"/>
          <w:sz w:val="24"/>
        </w:rPr>
        <w:t>测控部分包括控制器、主控机、通讯设备和应用软件</w:t>
      </w:r>
      <w:r>
        <w:rPr>
          <w:rFonts w:hint="eastAsia" w:ascii="宋体" w:hAnsi="宋体" w:eastAsia="宋体"/>
          <w:sz w:val="24"/>
        </w:rPr>
        <w:t>；</w:t>
      </w:r>
      <w:r>
        <w:rPr>
          <w:rFonts w:ascii="宋体" w:hAnsi="宋体" w:eastAsia="宋体"/>
          <w:sz w:val="24"/>
        </w:rPr>
        <w:t>运行环境支持部分包括</w:t>
      </w:r>
      <w:r>
        <w:rPr>
          <w:rFonts w:hint="eastAsia" w:ascii="宋体" w:hAnsi="宋体" w:eastAsia="宋体"/>
          <w:sz w:val="24"/>
        </w:rPr>
        <w:t>一体化户外机</w:t>
      </w:r>
      <w:r>
        <w:rPr>
          <w:rFonts w:ascii="宋体" w:hAnsi="宋体" w:eastAsia="宋体"/>
          <w:sz w:val="24"/>
        </w:rPr>
        <w:t>基础、电源、</w:t>
      </w:r>
      <w:r>
        <w:rPr>
          <w:rFonts w:hint="eastAsia" w:ascii="宋体" w:hAnsi="宋体" w:eastAsia="宋体"/>
          <w:sz w:val="24"/>
        </w:rPr>
        <w:t>保温</w:t>
      </w:r>
      <w:r>
        <w:rPr>
          <w:rFonts w:ascii="宋体" w:hAnsi="宋体" w:eastAsia="宋体"/>
          <w:sz w:val="24"/>
        </w:rPr>
        <w:t>、防雷、安全等设备。</w:t>
      </w:r>
    </w:p>
    <w:p>
      <w:pPr>
        <w:spacing w:line="360" w:lineRule="auto"/>
        <w:outlineLvl w:val="2"/>
        <w:rPr>
          <w:rFonts w:ascii="宋体" w:hAnsi="宋体" w:eastAsia="宋体"/>
          <w:b/>
          <w:sz w:val="30"/>
          <w:szCs w:val="30"/>
        </w:rPr>
      </w:pPr>
      <w:r>
        <w:rPr>
          <w:rFonts w:hint="eastAsia" w:ascii="宋体" w:hAnsi="宋体" w:eastAsia="宋体"/>
          <w:b/>
          <w:sz w:val="30"/>
          <w:szCs w:val="30"/>
        </w:rPr>
        <w:t>三、一体化户外机技术要求</w:t>
      </w:r>
    </w:p>
    <w:p>
      <w:pPr>
        <w:spacing w:line="360" w:lineRule="auto"/>
        <w:rPr>
          <w:rFonts w:ascii="宋体" w:hAnsi="宋体" w:eastAsia="宋体"/>
          <w:sz w:val="24"/>
        </w:rPr>
      </w:pPr>
      <w:r>
        <w:rPr>
          <w:rFonts w:hint="eastAsia" w:ascii="宋体" w:hAnsi="宋体" w:eastAsia="宋体"/>
          <w:sz w:val="24"/>
        </w:rPr>
        <w:t>1.</w:t>
      </w:r>
      <w:r>
        <w:rPr>
          <w:rFonts w:ascii="宋体" w:hAnsi="宋体" w:eastAsia="宋体"/>
          <w:sz w:val="24"/>
        </w:rPr>
        <w:t>在</w:t>
      </w:r>
      <w:r>
        <w:rPr>
          <w:rFonts w:hint="eastAsia" w:ascii="宋体" w:hAnsi="宋体" w:eastAsia="宋体"/>
          <w:sz w:val="24"/>
        </w:rPr>
        <w:t>一体化户外机</w:t>
      </w:r>
      <w:r>
        <w:rPr>
          <w:rFonts w:ascii="宋体" w:hAnsi="宋体" w:eastAsia="宋体"/>
          <w:sz w:val="24"/>
        </w:rPr>
        <w:t>安装点位建设好地基，</w:t>
      </w:r>
      <w:r>
        <w:rPr>
          <w:rFonts w:hint="eastAsia" w:ascii="宋体" w:hAnsi="宋体" w:eastAsia="宋体"/>
          <w:sz w:val="24"/>
        </w:rPr>
        <w:t>高于地面30cm，</w:t>
      </w:r>
      <w:r>
        <w:rPr>
          <w:rFonts w:ascii="宋体" w:hAnsi="宋体" w:eastAsia="宋体"/>
          <w:sz w:val="24"/>
        </w:rPr>
        <w:t>地基满足50年一遇的</w:t>
      </w:r>
      <w:r>
        <w:rPr>
          <w:rFonts w:hint="eastAsia" w:ascii="宋体" w:hAnsi="宋体" w:eastAsia="宋体"/>
          <w:sz w:val="24"/>
        </w:rPr>
        <w:t>抗洪</w:t>
      </w:r>
      <w:r>
        <w:rPr>
          <w:rFonts w:ascii="宋体" w:hAnsi="宋体" w:eastAsia="宋体"/>
          <w:sz w:val="24"/>
        </w:rPr>
        <w:t>要求</w:t>
      </w:r>
      <w:r>
        <w:rPr>
          <w:rFonts w:hint="eastAsia" w:ascii="宋体" w:hAnsi="宋体" w:eastAsia="宋体"/>
          <w:sz w:val="24"/>
        </w:rPr>
        <w:t>；</w:t>
      </w:r>
    </w:p>
    <w:p>
      <w:pPr>
        <w:spacing w:line="360" w:lineRule="auto"/>
        <w:rPr>
          <w:rFonts w:ascii="宋体" w:hAnsi="宋体" w:eastAsia="宋体"/>
          <w:sz w:val="24"/>
        </w:rPr>
      </w:pPr>
      <w:r>
        <w:rPr>
          <w:rFonts w:hint="eastAsia" w:ascii="宋体" w:hAnsi="宋体" w:eastAsia="宋体"/>
          <w:sz w:val="24"/>
        </w:rPr>
        <w:t>2.</w:t>
      </w:r>
      <w:r>
        <w:rPr>
          <w:rFonts w:ascii="宋体" w:hAnsi="宋体" w:eastAsia="宋体"/>
          <w:sz w:val="24"/>
        </w:rPr>
        <w:t>户外机柜外壳体采用不锈钢材质制作，内部采用组件嵌装式；</w:t>
      </w:r>
    </w:p>
    <w:p>
      <w:pPr>
        <w:spacing w:line="360" w:lineRule="auto"/>
        <w:rPr>
          <w:rFonts w:ascii="宋体" w:hAnsi="宋体" w:eastAsia="宋体"/>
          <w:sz w:val="24"/>
        </w:rPr>
      </w:pPr>
      <w:r>
        <w:rPr>
          <w:rFonts w:hint="eastAsia" w:ascii="宋体" w:hAnsi="宋体" w:eastAsia="宋体"/>
          <w:sz w:val="24"/>
        </w:rPr>
        <w:t>3.</w:t>
      </w:r>
      <w:r>
        <w:rPr>
          <w:rFonts w:ascii="宋体" w:hAnsi="宋体" w:eastAsia="宋体"/>
          <w:sz w:val="24"/>
        </w:rPr>
        <w:t>户外机柜采用小型化设计，</w:t>
      </w:r>
      <w:r>
        <w:rPr>
          <w:rFonts w:hint="eastAsia" w:ascii="宋体" w:hAnsi="宋体" w:eastAsia="宋体"/>
          <w:sz w:val="24"/>
        </w:rPr>
        <w:t>占地</w:t>
      </w:r>
      <w:r>
        <w:rPr>
          <w:rFonts w:ascii="宋体" w:hAnsi="宋体" w:eastAsia="宋体"/>
          <w:sz w:val="24"/>
        </w:rPr>
        <w:t>面积</w:t>
      </w:r>
      <w:r>
        <w:rPr>
          <w:rFonts w:hint="eastAsia" w:ascii="宋体" w:hAnsi="宋体" w:eastAsia="宋体" w:cs="宋体"/>
          <w:sz w:val="24"/>
        </w:rPr>
        <w:t>≦</w:t>
      </w:r>
      <w:r>
        <w:rPr>
          <w:rFonts w:hint="eastAsia" w:ascii="宋体" w:hAnsi="宋体" w:eastAsia="宋体"/>
          <w:sz w:val="24"/>
        </w:rPr>
        <w:t>1</w:t>
      </w:r>
      <w:r>
        <w:rPr>
          <w:rFonts w:ascii="宋体" w:hAnsi="宋体" w:eastAsia="宋体"/>
          <w:sz w:val="24"/>
        </w:rPr>
        <w:t>m</w:t>
      </w:r>
      <w:r>
        <w:rPr>
          <w:rFonts w:ascii="宋体" w:hAnsi="宋体" w:eastAsia="宋体"/>
          <w:sz w:val="24"/>
          <w:vertAlign w:val="superscript"/>
        </w:rPr>
        <w:t>2</w:t>
      </w:r>
      <w:r>
        <w:rPr>
          <w:rFonts w:ascii="宋体" w:hAnsi="宋体" w:eastAsia="宋体"/>
          <w:sz w:val="24"/>
        </w:rPr>
        <w:t>；户外机柜内要有电源模块、通道和信号模块、接地模块的防雷设计</w:t>
      </w:r>
      <w:r>
        <w:rPr>
          <w:rFonts w:hint="eastAsia" w:ascii="宋体" w:hAnsi="宋体" w:eastAsia="宋体"/>
          <w:sz w:val="24"/>
        </w:rPr>
        <w:t>；</w:t>
      </w:r>
    </w:p>
    <w:p>
      <w:pPr>
        <w:spacing w:line="360" w:lineRule="auto"/>
        <w:rPr>
          <w:rFonts w:ascii="宋体" w:hAnsi="宋体" w:eastAsia="宋体"/>
          <w:sz w:val="24"/>
        </w:rPr>
      </w:pPr>
      <w:r>
        <w:rPr>
          <w:rFonts w:hint="eastAsia" w:ascii="宋体" w:hAnsi="宋体" w:eastAsia="宋体"/>
          <w:sz w:val="24"/>
        </w:rPr>
        <w:t>4.</w:t>
      </w:r>
      <w:r>
        <w:rPr>
          <w:rFonts w:ascii="宋体" w:hAnsi="宋体" w:eastAsia="宋体"/>
          <w:sz w:val="24"/>
        </w:rPr>
        <w:t>户外机柜配置防雨、防尘、防雷、防盗等安全设施，防护等级达到IP65；</w:t>
      </w:r>
    </w:p>
    <w:p>
      <w:pPr>
        <w:spacing w:line="360" w:lineRule="auto"/>
        <w:rPr>
          <w:rFonts w:ascii="宋体" w:hAnsi="宋体" w:eastAsia="宋体"/>
          <w:sz w:val="24"/>
        </w:rPr>
      </w:pPr>
      <w:r>
        <w:rPr>
          <w:rFonts w:hint="eastAsia" w:ascii="宋体" w:hAnsi="宋体" w:eastAsia="宋体"/>
          <w:sz w:val="24"/>
        </w:rPr>
        <w:t>5.</w:t>
      </w:r>
      <w:r>
        <w:rPr>
          <w:rFonts w:ascii="宋体" w:hAnsi="宋体" w:eastAsia="宋体"/>
          <w:sz w:val="24"/>
        </w:rPr>
        <w:t>供电采用</w:t>
      </w:r>
      <w:r>
        <w:rPr>
          <w:rFonts w:hint="eastAsia" w:ascii="宋体" w:hAnsi="宋体" w:eastAsia="宋体"/>
          <w:sz w:val="24"/>
        </w:rPr>
        <w:t>太阳能</w:t>
      </w:r>
      <w:r>
        <w:rPr>
          <w:rFonts w:ascii="宋体" w:hAnsi="宋体" w:eastAsia="宋体"/>
          <w:sz w:val="24"/>
        </w:rPr>
        <w:t>供电；</w:t>
      </w:r>
    </w:p>
    <w:p>
      <w:pPr>
        <w:spacing w:line="360" w:lineRule="auto"/>
        <w:rPr>
          <w:rFonts w:ascii="宋体" w:hAnsi="宋体" w:eastAsia="宋体"/>
          <w:sz w:val="24"/>
        </w:rPr>
      </w:pPr>
      <w:r>
        <w:rPr>
          <w:rFonts w:hint="eastAsia" w:ascii="宋体" w:hAnsi="宋体" w:eastAsia="宋体"/>
          <w:sz w:val="24"/>
        </w:rPr>
        <w:t>6.</w:t>
      </w:r>
      <w:r>
        <w:rPr>
          <w:rFonts w:ascii="宋体" w:hAnsi="宋体" w:eastAsia="宋体"/>
          <w:sz w:val="24"/>
        </w:rPr>
        <w:t>户外机柜电源布设符合国家用电相关安全要求，并满足设计和规划中总用电功率的需要；</w:t>
      </w:r>
    </w:p>
    <w:p>
      <w:pPr>
        <w:spacing w:line="360" w:lineRule="auto"/>
        <w:rPr>
          <w:rFonts w:ascii="宋体" w:hAnsi="宋体" w:eastAsia="宋体"/>
          <w:sz w:val="24"/>
        </w:rPr>
      </w:pPr>
      <w:r>
        <w:rPr>
          <w:rFonts w:hint="eastAsia" w:ascii="宋体" w:hAnsi="宋体" w:eastAsia="宋体"/>
          <w:sz w:val="24"/>
        </w:rPr>
        <w:t>7.</w:t>
      </w:r>
      <w:r>
        <w:rPr>
          <w:rFonts w:ascii="宋体" w:hAnsi="宋体" w:eastAsia="宋体"/>
          <w:sz w:val="24"/>
        </w:rPr>
        <w:t>户外机柜应设置铭牌；</w:t>
      </w:r>
    </w:p>
    <w:p>
      <w:pPr>
        <w:spacing w:line="360" w:lineRule="auto"/>
        <w:rPr>
          <w:rFonts w:ascii="宋体" w:hAnsi="宋体" w:eastAsia="宋体"/>
          <w:sz w:val="24"/>
        </w:rPr>
      </w:pPr>
      <w:r>
        <w:rPr>
          <w:rFonts w:hint="eastAsia" w:ascii="宋体" w:hAnsi="宋体" w:eastAsia="宋体"/>
          <w:sz w:val="24"/>
        </w:rPr>
        <w:t>8.</w:t>
      </w:r>
      <w:r>
        <w:rPr>
          <w:rFonts w:ascii="宋体" w:hAnsi="宋体" w:eastAsia="宋体"/>
          <w:sz w:val="24"/>
        </w:rPr>
        <w:t>户外机外安装一个摄像头，</w:t>
      </w:r>
      <w:r>
        <w:rPr>
          <w:rFonts w:hint="eastAsia" w:ascii="宋体" w:hAnsi="宋体" w:eastAsia="宋体"/>
          <w:sz w:val="24"/>
        </w:rPr>
        <w:t>球机带云台，可水平</w:t>
      </w:r>
      <w:r>
        <w:rPr>
          <w:rFonts w:ascii="宋体" w:hAnsi="宋体" w:eastAsia="宋体"/>
          <w:sz w:val="24"/>
        </w:rPr>
        <w:t>360</w:t>
      </w:r>
      <w:r>
        <w:rPr>
          <w:rFonts w:hint="eastAsia" w:ascii="宋体" w:hAnsi="宋体" w:eastAsia="宋体"/>
          <w:sz w:val="24"/>
        </w:rPr>
        <w:t>度旋转，竖直</w:t>
      </w:r>
      <w:r>
        <w:rPr>
          <w:rFonts w:ascii="宋体" w:hAnsi="宋体" w:eastAsia="宋体"/>
          <w:sz w:val="24"/>
        </w:rPr>
        <w:t>-5</w:t>
      </w:r>
      <w:r>
        <w:rPr>
          <w:rFonts w:hint="eastAsia" w:ascii="宋体" w:hAnsi="宋体" w:eastAsia="宋体"/>
          <w:sz w:val="24"/>
        </w:rPr>
        <w:t>～</w:t>
      </w:r>
      <w:r>
        <w:rPr>
          <w:rFonts w:ascii="宋体" w:hAnsi="宋体" w:eastAsia="宋体"/>
          <w:sz w:val="24"/>
        </w:rPr>
        <w:t>185</w:t>
      </w:r>
      <w:r>
        <w:rPr>
          <w:rFonts w:hint="eastAsia" w:ascii="宋体" w:hAnsi="宋体" w:eastAsia="宋体"/>
          <w:sz w:val="24"/>
        </w:rPr>
        <w:t>度旋转，带红外，支持夜间查看，</w:t>
      </w:r>
      <w:r>
        <w:rPr>
          <w:rFonts w:ascii="宋体" w:hAnsi="宋体" w:eastAsia="宋体"/>
          <w:sz w:val="24"/>
        </w:rPr>
        <w:t>远程观察取水设备（如取样水泵、浮台等）工作状况，或观察周边的水位、流量等水情情况和周边的环境</w:t>
      </w:r>
      <w:bookmarkStart w:id="73" w:name="_Toc472976664"/>
      <w:r>
        <w:rPr>
          <w:rFonts w:hint="eastAsia" w:ascii="宋体" w:hAnsi="宋体" w:eastAsia="宋体"/>
          <w:sz w:val="24"/>
        </w:rPr>
        <w:t>。</w:t>
      </w:r>
    </w:p>
    <w:p>
      <w:pPr>
        <w:spacing w:line="360" w:lineRule="auto"/>
        <w:rPr>
          <w:rFonts w:ascii="宋体" w:hAnsi="宋体" w:eastAsia="宋体"/>
          <w:b/>
          <w:sz w:val="24"/>
        </w:rPr>
      </w:pPr>
      <w:r>
        <w:rPr>
          <w:rFonts w:hint="eastAsia" w:ascii="宋体" w:hAnsi="宋体" w:eastAsia="宋体"/>
          <w:sz w:val="24"/>
        </w:rPr>
        <w:t>9.户外机内部进行隔热保温处理，保证柜内温度</w:t>
      </w:r>
      <w:r>
        <w:rPr>
          <w:rFonts w:ascii="宋体" w:hAnsi="宋体" w:eastAsia="宋体"/>
          <w:sz w:val="24"/>
        </w:rPr>
        <w:t>1</w:t>
      </w:r>
      <w:r>
        <w:rPr>
          <w:rFonts w:hint="eastAsia" w:ascii="宋体" w:hAnsi="宋体" w:eastAsia="宋体"/>
          <w:sz w:val="24"/>
        </w:rPr>
        <w:t>0</w:t>
      </w:r>
      <w:r>
        <w:rPr>
          <w:rFonts w:hint="eastAsia" w:ascii="宋体" w:hAnsi="宋体" w:eastAsia="宋体" w:cs="宋体"/>
          <w:sz w:val="24"/>
        </w:rPr>
        <w:t>℃</w:t>
      </w:r>
      <w:r>
        <w:rPr>
          <w:rFonts w:ascii="宋体" w:hAnsi="宋体" w:eastAsia="宋体"/>
          <w:sz w:val="24"/>
        </w:rPr>
        <w:t>-</w:t>
      </w:r>
      <w:r>
        <w:rPr>
          <w:rFonts w:hint="eastAsia" w:ascii="宋体" w:hAnsi="宋体" w:eastAsia="宋体"/>
          <w:sz w:val="24"/>
        </w:rPr>
        <w:t>30</w:t>
      </w:r>
      <w:r>
        <w:rPr>
          <w:rFonts w:hint="eastAsia" w:ascii="宋体" w:hAnsi="宋体" w:eastAsia="宋体" w:cs="宋体"/>
          <w:sz w:val="24"/>
        </w:rPr>
        <w:t>℃。</w:t>
      </w:r>
    </w:p>
    <w:bookmarkEnd w:id="73"/>
    <w:p>
      <w:pPr>
        <w:spacing w:line="360" w:lineRule="auto"/>
        <w:outlineLvl w:val="2"/>
        <w:rPr>
          <w:rFonts w:ascii="宋体" w:hAnsi="宋体" w:eastAsia="宋体"/>
          <w:b/>
          <w:sz w:val="30"/>
          <w:szCs w:val="30"/>
        </w:rPr>
      </w:pPr>
      <w:bookmarkStart w:id="74" w:name="_Toc302225644"/>
      <w:r>
        <w:rPr>
          <w:rFonts w:hint="eastAsia" w:ascii="宋体" w:hAnsi="宋体" w:eastAsia="宋体"/>
          <w:b/>
          <w:sz w:val="30"/>
          <w:szCs w:val="30"/>
        </w:rPr>
        <w:t>四</w:t>
      </w:r>
      <w:r>
        <w:rPr>
          <w:rFonts w:ascii="宋体" w:hAnsi="宋体" w:eastAsia="宋体"/>
          <w:b/>
          <w:sz w:val="30"/>
          <w:szCs w:val="30"/>
        </w:rPr>
        <w:t>、</w:t>
      </w:r>
      <w:bookmarkEnd w:id="74"/>
      <w:r>
        <w:rPr>
          <w:rFonts w:hint="eastAsia" w:ascii="宋体" w:hAnsi="宋体" w:eastAsia="宋体"/>
          <w:b/>
          <w:sz w:val="30"/>
          <w:szCs w:val="30"/>
        </w:rPr>
        <w:t>仪器</w:t>
      </w:r>
      <w:r>
        <w:rPr>
          <w:rFonts w:ascii="宋体" w:hAnsi="宋体" w:eastAsia="宋体"/>
          <w:b/>
          <w:sz w:val="30"/>
          <w:szCs w:val="30"/>
        </w:rPr>
        <w:t>设备</w:t>
      </w:r>
      <w:r>
        <w:rPr>
          <w:rFonts w:hint="eastAsia" w:ascii="宋体" w:hAnsi="宋体" w:eastAsia="宋体"/>
          <w:b/>
          <w:sz w:val="30"/>
          <w:szCs w:val="30"/>
        </w:rPr>
        <w:t>及系统</w:t>
      </w:r>
      <w:r>
        <w:rPr>
          <w:rFonts w:ascii="宋体" w:hAnsi="宋体" w:eastAsia="宋体"/>
          <w:b/>
          <w:sz w:val="30"/>
          <w:szCs w:val="30"/>
        </w:rPr>
        <w:t>技术要求和指标</w:t>
      </w:r>
    </w:p>
    <w:p>
      <w:pPr>
        <w:widowControl/>
        <w:spacing w:line="360" w:lineRule="auto"/>
        <w:ind w:firstLine="480" w:firstLineChars="200"/>
        <w:rPr>
          <w:rFonts w:ascii="宋体" w:hAnsi="宋体" w:eastAsia="宋体"/>
          <w:sz w:val="24"/>
        </w:rPr>
      </w:pPr>
      <w:r>
        <w:rPr>
          <w:rFonts w:ascii="宋体" w:hAnsi="宋体" w:eastAsia="宋体"/>
          <w:sz w:val="24"/>
        </w:rPr>
        <w:t>水质自动监测系统设备包括</w:t>
      </w:r>
      <w:bookmarkStart w:id="75" w:name="_Toc302225647"/>
      <w:r>
        <w:rPr>
          <w:rFonts w:hint="eastAsia" w:ascii="宋体" w:hAnsi="宋体" w:eastAsia="宋体"/>
          <w:sz w:val="24"/>
        </w:rPr>
        <w:t>化学需氧量、</w:t>
      </w:r>
      <w:r>
        <w:rPr>
          <w:rFonts w:ascii="宋体" w:hAnsi="宋体" w:eastAsia="宋体"/>
          <w:sz w:val="24"/>
        </w:rPr>
        <w:t>氨氮、</w:t>
      </w:r>
      <w:r>
        <w:rPr>
          <w:rFonts w:hint="eastAsia" w:ascii="宋体" w:hAnsi="宋体" w:eastAsia="宋体"/>
          <w:sz w:val="24"/>
        </w:rPr>
        <w:t>pH、水温、</w:t>
      </w:r>
      <w:r>
        <w:rPr>
          <w:rFonts w:ascii="宋体" w:hAnsi="宋体" w:eastAsia="宋体"/>
          <w:sz w:val="24"/>
        </w:rPr>
        <w:t>溶解氧</w:t>
      </w:r>
      <w:r>
        <w:rPr>
          <w:rFonts w:hint="eastAsia" w:ascii="宋体" w:hAnsi="宋体" w:eastAsia="宋体"/>
          <w:sz w:val="24"/>
        </w:rPr>
        <w:t>、</w:t>
      </w:r>
      <w:r>
        <w:rPr>
          <w:rFonts w:ascii="宋体" w:hAnsi="宋体" w:eastAsia="宋体"/>
          <w:sz w:val="24"/>
        </w:rPr>
        <w:t>电导率和</w:t>
      </w:r>
      <w:r>
        <w:rPr>
          <w:rFonts w:hint="eastAsia" w:ascii="宋体" w:hAnsi="宋体" w:eastAsia="宋体"/>
          <w:sz w:val="24"/>
        </w:rPr>
        <w:t>浊度自动分析仪。</w:t>
      </w:r>
    </w:p>
    <w:bookmarkEnd w:id="75"/>
    <w:p>
      <w:pPr>
        <w:spacing w:line="360" w:lineRule="auto"/>
        <w:outlineLvl w:val="3"/>
        <w:rPr>
          <w:rFonts w:ascii="宋体" w:hAnsi="宋体" w:eastAsia="宋体"/>
          <w:b/>
          <w:sz w:val="28"/>
          <w:szCs w:val="28"/>
        </w:rPr>
      </w:pPr>
      <w:bookmarkStart w:id="76" w:name="_Toc302225648"/>
      <w:r>
        <w:rPr>
          <w:rFonts w:ascii="宋体" w:hAnsi="宋体" w:eastAsia="宋体"/>
          <w:b/>
          <w:sz w:val="28"/>
          <w:szCs w:val="28"/>
        </w:rPr>
        <w:t>（一）技术设计依据</w:t>
      </w:r>
      <w:bookmarkEnd w:id="76"/>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w:t>
      </w:r>
      <w:r>
        <w:rPr>
          <w:rFonts w:ascii="宋体" w:hAnsi="宋体" w:eastAsia="宋体"/>
          <w:kern w:val="0"/>
          <w:sz w:val="24"/>
        </w:rPr>
        <w:t>《水和废水监测分析方法》（第四版）</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2.</w:t>
      </w:r>
      <w:r>
        <w:rPr>
          <w:rFonts w:ascii="宋体" w:hAnsi="宋体" w:eastAsia="宋体"/>
          <w:kern w:val="0"/>
          <w:sz w:val="24"/>
        </w:rPr>
        <w:t>《环境水质监测质量保证手册》（第二版）</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3.</w:t>
      </w:r>
      <w:r>
        <w:rPr>
          <w:rFonts w:ascii="宋体" w:hAnsi="宋体" w:eastAsia="宋体"/>
          <w:kern w:val="0"/>
          <w:sz w:val="24"/>
        </w:rPr>
        <w:t>《地表水环境质量标准》（GB3838-2002）</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4.</w:t>
      </w:r>
      <w:r>
        <w:rPr>
          <w:rFonts w:ascii="宋体" w:hAnsi="宋体" w:eastAsia="宋体"/>
          <w:kern w:val="0"/>
          <w:sz w:val="24"/>
        </w:rPr>
        <w:t>《中华人民共和国环境保护行业标准》（HJ/T98-2003）</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5.</w:t>
      </w:r>
      <w:r>
        <w:rPr>
          <w:rFonts w:ascii="宋体" w:hAnsi="宋体" w:eastAsia="宋体"/>
          <w:kern w:val="0"/>
          <w:sz w:val="24"/>
        </w:rPr>
        <w:t>《地表水和污水监测技术规范》（HJ/T 91-2002）</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6.</w:t>
      </w:r>
      <w:r>
        <w:rPr>
          <w:rFonts w:ascii="宋体" w:hAnsi="宋体" w:eastAsia="宋体"/>
          <w:kern w:val="0"/>
          <w:sz w:val="24"/>
        </w:rPr>
        <w:t>《水质 河流采样技术指导》（HJ/T 52-1999）</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7.</w:t>
      </w:r>
      <w:r>
        <w:rPr>
          <w:rFonts w:ascii="宋体" w:hAnsi="宋体" w:eastAsia="宋体"/>
          <w:kern w:val="0"/>
          <w:sz w:val="24"/>
        </w:rPr>
        <w:t>《地表水自动监测技术规范》</w:t>
      </w:r>
      <w:r>
        <w:rPr>
          <w:rFonts w:hint="eastAsia" w:ascii="宋体" w:hAnsi="宋体" w:eastAsia="宋体"/>
          <w:sz w:val="24"/>
        </w:rPr>
        <w:t>（</w:t>
      </w:r>
      <w:r>
        <w:rPr>
          <w:rFonts w:ascii="宋体" w:hAnsi="宋体" w:eastAsia="宋体"/>
          <w:kern w:val="0"/>
          <w:sz w:val="24"/>
        </w:rPr>
        <w:t>HJ 915-2017</w:t>
      </w:r>
      <w:r>
        <w:rPr>
          <w:rFonts w:hint="eastAsia" w:ascii="宋体" w:hAnsi="宋体" w:eastAsia="宋体"/>
          <w:sz w:val="24"/>
        </w:rPr>
        <w:t>）</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8.</w:t>
      </w:r>
      <w:r>
        <w:rPr>
          <w:rFonts w:ascii="宋体" w:hAnsi="宋体" w:eastAsia="宋体"/>
          <w:kern w:val="0"/>
          <w:sz w:val="24"/>
        </w:rPr>
        <w:t>《山东省小清河流域水污染物综合排放标准》（DB37656-2006）</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9.</w:t>
      </w:r>
      <w:r>
        <w:rPr>
          <w:rFonts w:ascii="宋体" w:hAnsi="宋体" w:eastAsia="宋体"/>
          <w:kern w:val="0"/>
          <w:sz w:val="24"/>
        </w:rPr>
        <w:t>《化学需氧量水质自动分析仪技术要求》（HJ/T100-2003）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0.</w:t>
      </w:r>
      <w:r>
        <w:rPr>
          <w:rFonts w:ascii="宋体" w:hAnsi="宋体" w:eastAsia="宋体"/>
          <w:kern w:val="0"/>
          <w:sz w:val="24"/>
        </w:rPr>
        <w:t>《氨氮水质自动分析仪技术要求》（HJ/T101-2003）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1</w:t>
      </w:r>
      <w:r>
        <w:rPr>
          <w:rFonts w:ascii="宋体" w:hAnsi="宋体" w:eastAsia="宋体"/>
          <w:kern w:val="0"/>
          <w:sz w:val="24"/>
        </w:rPr>
        <w:t>.《PH水质自动分析仪技术要求》（HJ/T96-2003）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2.</w:t>
      </w:r>
      <w:r>
        <w:rPr>
          <w:rFonts w:ascii="宋体" w:hAnsi="宋体" w:eastAsia="宋体"/>
          <w:kern w:val="0"/>
          <w:sz w:val="24"/>
        </w:rPr>
        <w:t>《溶解氧（DO）水质自动分析仪技术要求》（HJ/T99-2003）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3.</w:t>
      </w:r>
      <w:r>
        <w:rPr>
          <w:rFonts w:ascii="宋体" w:hAnsi="宋体" w:eastAsia="宋体"/>
          <w:kern w:val="0"/>
          <w:sz w:val="24"/>
        </w:rPr>
        <w:t>《电导率水质自动分析仪技术要求》（HJ/T97-2003）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4.</w:t>
      </w:r>
      <w:r>
        <w:rPr>
          <w:rFonts w:ascii="宋体" w:hAnsi="宋体" w:eastAsia="宋体"/>
          <w:kern w:val="0"/>
          <w:sz w:val="24"/>
        </w:rPr>
        <w:t>《浊度水质自动分析仪技术要求》（HJ/T98-2003）</w:t>
      </w:r>
    </w:p>
    <w:p>
      <w:pPr>
        <w:tabs>
          <w:tab w:val="left" w:pos="1435"/>
        </w:tabs>
        <w:autoSpaceDE w:val="0"/>
        <w:autoSpaceDN w:val="0"/>
        <w:spacing w:line="360" w:lineRule="auto"/>
        <w:jc w:val="left"/>
        <w:rPr>
          <w:rFonts w:ascii="宋体" w:hAnsi="宋体" w:eastAsia="宋体"/>
          <w:sz w:val="24"/>
        </w:rPr>
      </w:pPr>
      <w:r>
        <w:rPr>
          <w:rFonts w:hint="eastAsia" w:ascii="宋体" w:hAnsi="宋体" w:eastAsia="宋体"/>
          <w:sz w:val="24"/>
        </w:rPr>
        <w:t>15.国家《地表水水质自动监测站运行维护技术规范》（试行）</w:t>
      </w:r>
    </w:p>
    <w:p>
      <w:pPr>
        <w:tabs>
          <w:tab w:val="left" w:pos="1435"/>
        </w:tabs>
        <w:autoSpaceDE w:val="0"/>
        <w:autoSpaceDN w:val="0"/>
        <w:spacing w:line="360" w:lineRule="auto"/>
        <w:jc w:val="left"/>
        <w:rPr>
          <w:rFonts w:ascii="宋体" w:hAnsi="宋体" w:eastAsia="宋体"/>
          <w:sz w:val="24"/>
        </w:rPr>
      </w:pPr>
      <w:r>
        <w:rPr>
          <w:rFonts w:hint="eastAsia" w:ascii="宋体" w:hAnsi="宋体" w:eastAsia="宋体"/>
          <w:sz w:val="24"/>
        </w:rPr>
        <w:t>16.国家《地表水水质自动监测站安装验收技术规范》（试行）</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sz w:val="24"/>
        </w:rPr>
        <w:t>17.《国家地表水环境质量自动监测站运行管理办法》（2017年4月）</w:t>
      </w:r>
    </w:p>
    <w:p>
      <w:pPr>
        <w:spacing w:line="360" w:lineRule="auto"/>
        <w:outlineLvl w:val="3"/>
        <w:rPr>
          <w:rFonts w:ascii="宋体" w:hAnsi="宋体" w:eastAsia="宋体"/>
          <w:b/>
          <w:sz w:val="28"/>
          <w:szCs w:val="28"/>
        </w:rPr>
      </w:pPr>
      <w:bookmarkStart w:id="77" w:name="_Toc302225652"/>
      <w:r>
        <w:rPr>
          <w:rFonts w:ascii="宋体" w:hAnsi="宋体" w:eastAsia="宋体"/>
          <w:b/>
          <w:sz w:val="28"/>
          <w:szCs w:val="28"/>
        </w:rPr>
        <w:t>（二）系统</w:t>
      </w:r>
      <w:r>
        <w:rPr>
          <w:rFonts w:hint="eastAsia" w:ascii="宋体" w:hAnsi="宋体" w:eastAsia="宋体"/>
          <w:b/>
          <w:sz w:val="28"/>
          <w:szCs w:val="28"/>
        </w:rPr>
        <w:t>设备</w:t>
      </w:r>
      <w:r>
        <w:rPr>
          <w:rFonts w:ascii="宋体" w:hAnsi="宋体" w:eastAsia="宋体"/>
          <w:b/>
          <w:sz w:val="28"/>
          <w:szCs w:val="28"/>
        </w:rPr>
        <w:t>基本技术要求</w:t>
      </w:r>
      <w:bookmarkEnd w:id="77"/>
      <w:bookmarkStart w:id="78" w:name="_Toc302225653"/>
    </w:p>
    <w:p>
      <w:pPr>
        <w:spacing w:line="360" w:lineRule="auto"/>
        <w:outlineLvl w:val="4"/>
        <w:rPr>
          <w:rFonts w:ascii="宋体" w:hAnsi="宋体" w:eastAsia="宋体"/>
          <w:b/>
          <w:sz w:val="24"/>
        </w:rPr>
      </w:pPr>
      <w:r>
        <w:rPr>
          <w:rFonts w:ascii="宋体" w:hAnsi="宋体" w:eastAsia="宋体"/>
          <w:b/>
          <w:sz w:val="24"/>
        </w:rPr>
        <w:t>1</w:t>
      </w:r>
      <w:r>
        <w:rPr>
          <w:rFonts w:hint="eastAsia" w:ascii="宋体" w:hAnsi="宋体" w:eastAsia="宋体"/>
          <w:b/>
          <w:sz w:val="24"/>
        </w:rPr>
        <w:t>.</w:t>
      </w:r>
      <w:r>
        <w:rPr>
          <w:rFonts w:ascii="宋体" w:hAnsi="宋体" w:eastAsia="宋体"/>
          <w:b/>
          <w:sz w:val="24"/>
        </w:rPr>
        <w:t>系统</w:t>
      </w:r>
      <w:r>
        <w:rPr>
          <w:rFonts w:hint="eastAsia" w:ascii="宋体" w:hAnsi="宋体" w:eastAsia="宋体"/>
          <w:b/>
          <w:sz w:val="24"/>
        </w:rPr>
        <w:t>设备</w:t>
      </w:r>
      <w:r>
        <w:rPr>
          <w:rFonts w:ascii="宋体" w:hAnsi="宋体" w:eastAsia="宋体"/>
          <w:b/>
          <w:sz w:val="24"/>
        </w:rPr>
        <w:t>整体要求</w:t>
      </w:r>
      <w:bookmarkEnd w:id="78"/>
    </w:p>
    <w:p>
      <w:pPr>
        <w:autoSpaceDE w:val="0"/>
        <w:autoSpaceDN w:val="0"/>
        <w:spacing w:line="360" w:lineRule="auto"/>
        <w:ind w:firstLine="480" w:firstLineChars="200"/>
        <w:jc w:val="left"/>
        <w:rPr>
          <w:rFonts w:ascii="宋体" w:hAnsi="宋体" w:eastAsia="宋体"/>
          <w:kern w:val="0"/>
          <w:sz w:val="24"/>
        </w:rPr>
      </w:pPr>
      <w:r>
        <w:rPr>
          <w:rFonts w:ascii="宋体" w:hAnsi="宋体" w:eastAsia="宋体"/>
          <w:kern w:val="0"/>
          <w:sz w:val="24"/>
        </w:rPr>
        <w:t>对所采水样进行相应的预处理，将水样中的某些杂质过滤而又不能改变水样的代表性；方法成熟、性能稳定、经济合理、运行费用低、维护工作量小；仪器设备及系统抗电磁干扰、避雷装置及电力供应稳定的配套系统设计；系统工艺流程简捷，组成精简，力求使系统设备的投资尽量合理；管线布置通畅合理，管材选择确保系统能长期有效运行；自动化程度高，做到自动采样、自动预处理、自动分析和自动清洗以及数据记录和输出等环节的可靠有效；水质自动监测装置布局合理，整齐美观，应尽量缩短现场安装调试的工作量；管道及所有与被测介质接触的部件，必须允许清洗介质通过而不产生损坏。</w:t>
      </w:r>
      <w:bookmarkStart w:id="79" w:name="_Toc302225654"/>
    </w:p>
    <w:p>
      <w:pPr>
        <w:spacing w:line="360" w:lineRule="auto"/>
        <w:outlineLvl w:val="4"/>
        <w:rPr>
          <w:rFonts w:ascii="宋体" w:hAnsi="宋体" w:eastAsia="宋体"/>
          <w:b/>
          <w:sz w:val="24"/>
        </w:rPr>
      </w:pPr>
      <w:r>
        <w:rPr>
          <w:rFonts w:ascii="宋体" w:hAnsi="宋体" w:eastAsia="宋体"/>
          <w:b/>
          <w:sz w:val="24"/>
        </w:rPr>
        <w:t>2</w:t>
      </w:r>
      <w:r>
        <w:rPr>
          <w:rFonts w:hint="eastAsia" w:ascii="宋体" w:hAnsi="宋体" w:eastAsia="宋体"/>
          <w:b/>
          <w:sz w:val="24"/>
        </w:rPr>
        <w:t>.</w:t>
      </w:r>
      <w:r>
        <w:rPr>
          <w:rFonts w:ascii="宋体" w:hAnsi="宋体" w:eastAsia="宋体"/>
          <w:b/>
          <w:sz w:val="24"/>
        </w:rPr>
        <w:t>系统完整性</w:t>
      </w:r>
      <w:bookmarkEnd w:id="79"/>
    </w:p>
    <w:p>
      <w:pPr>
        <w:autoSpaceDE w:val="0"/>
        <w:autoSpaceDN w:val="0"/>
        <w:spacing w:line="360" w:lineRule="auto"/>
        <w:ind w:firstLine="480" w:firstLineChars="200"/>
        <w:jc w:val="left"/>
        <w:rPr>
          <w:rFonts w:ascii="宋体" w:hAnsi="宋体" w:eastAsia="宋体"/>
          <w:kern w:val="0"/>
          <w:sz w:val="24"/>
        </w:rPr>
      </w:pPr>
      <w:r>
        <w:rPr>
          <w:rFonts w:ascii="宋体" w:hAnsi="宋体" w:eastAsia="宋体"/>
          <w:kern w:val="0"/>
          <w:sz w:val="24"/>
        </w:rPr>
        <w:t>完整的系统应包括取</w:t>
      </w:r>
      <w:r>
        <w:rPr>
          <w:rFonts w:hint="eastAsia" w:ascii="宋体" w:hAnsi="宋体" w:eastAsia="宋体"/>
          <w:kern w:val="0"/>
          <w:sz w:val="24"/>
        </w:rPr>
        <w:t>采</w:t>
      </w:r>
      <w:r>
        <w:rPr>
          <w:rFonts w:ascii="宋体" w:hAnsi="宋体" w:eastAsia="宋体"/>
          <w:kern w:val="0"/>
          <w:sz w:val="24"/>
        </w:rPr>
        <w:t>配水单元、预处理单元、数据采集控制单元、仪表分析单元、运行环境支持单元</w:t>
      </w:r>
      <w:r>
        <w:rPr>
          <w:rFonts w:hint="eastAsia" w:ascii="宋体" w:hAnsi="宋体" w:eastAsia="宋体"/>
          <w:kern w:val="0"/>
          <w:sz w:val="24"/>
        </w:rPr>
        <w:t>等</w:t>
      </w:r>
      <w:r>
        <w:rPr>
          <w:rFonts w:ascii="宋体" w:hAnsi="宋体" w:eastAsia="宋体"/>
          <w:kern w:val="0"/>
          <w:sz w:val="24"/>
        </w:rPr>
        <w:t>部分。</w:t>
      </w:r>
      <w:bookmarkStart w:id="80" w:name="_Toc302225655"/>
    </w:p>
    <w:p>
      <w:pPr>
        <w:spacing w:line="360" w:lineRule="auto"/>
        <w:outlineLvl w:val="4"/>
        <w:rPr>
          <w:rFonts w:ascii="宋体" w:hAnsi="宋体" w:eastAsia="宋体"/>
          <w:b/>
          <w:sz w:val="24"/>
        </w:rPr>
      </w:pPr>
      <w:r>
        <w:rPr>
          <w:rFonts w:ascii="宋体" w:hAnsi="宋体" w:eastAsia="宋体"/>
          <w:b/>
          <w:sz w:val="24"/>
        </w:rPr>
        <w:t>3</w:t>
      </w:r>
      <w:r>
        <w:rPr>
          <w:rFonts w:hint="eastAsia" w:ascii="宋体" w:hAnsi="宋体" w:eastAsia="宋体"/>
          <w:b/>
          <w:sz w:val="24"/>
        </w:rPr>
        <w:t>.</w:t>
      </w:r>
      <w:r>
        <w:rPr>
          <w:rFonts w:ascii="宋体" w:hAnsi="宋体" w:eastAsia="宋体"/>
          <w:b/>
          <w:sz w:val="24"/>
        </w:rPr>
        <w:t>系统可靠性</w:t>
      </w:r>
      <w:bookmarkEnd w:id="80"/>
    </w:p>
    <w:p>
      <w:pPr>
        <w:autoSpaceDE w:val="0"/>
        <w:autoSpaceDN w:val="0"/>
        <w:spacing w:line="360" w:lineRule="auto"/>
        <w:ind w:firstLine="480" w:firstLineChars="200"/>
        <w:jc w:val="left"/>
        <w:rPr>
          <w:rFonts w:ascii="宋体" w:hAnsi="宋体" w:eastAsia="宋体"/>
          <w:kern w:val="0"/>
          <w:sz w:val="24"/>
        </w:rPr>
      </w:pPr>
      <w:r>
        <w:rPr>
          <w:rFonts w:ascii="宋体" w:hAnsi="宋体" w:eastAsia="宋体"/>
          <w:kern w:val="0"/>
          <w:sz w:val="24"/>
        </w:rPr>
        <w:t>系统采用工业级仪器设备，可靠的保护措施，确保无人值守时稳定正常工作。</w:t>
      </w:r>
      <w:bookmarkStart w:id="81" w:name="_Toc302225657"/>
    </w:p>
    <w:bookmarkEnd w:id="81"/>
    <w:p>
      <w:pPr>
        <w:spacing w:line="360" w:lineRule="auto"/>
        <w:outlineLvl w:val="3"/>
        <w:rPr>
          <w:rFonts w:ascii="宋体" w:hAnsi="宋体" w:eastAsia="宋体"/>
          <w:b/>
          <w:sz w:val="28"/>
          <w:szCs w:val="28"/>
        </w:rPr>
      </w:pPr>
      <w:r>
        <w:rPr>
          <w:rFonts w:ascii="宋体" w:hAnsi="宋体" w:eastAsia="宋体"/>
          <w:b/>
          <w:sz w:val="28"/>
          <w:szCs w:val="28"/>
        </w:rPr>
        <w:t>（三）分析单元</w:t>
      </w:r>
    </w:p>
    <w:p>
      <w:pPr>
        <w:spacing w:line="360" w:lineRule="auto"/>
        <w:outlineLvl w:val="4"/>
        <w:rPr>
          <w:rFonts w:ascii="宋体" w:hAnsi="宋体" w:eastAsia="宋体"/>
          <w:b/>
          <w:sz w:val="24"/>
        </w:rPr>
      </w:pPr>
      <w:bookmarkStart w:id="82" w:name="_Toc302225672"/>
      <w:r>
        <w:rPr>
          <w:rFonts w:ascii="宋体" w:hAnsi="宋体" w:eastAsia="宋体"/>
          <w:b/>
          <w:sz w:val="24"/>
        </w:rPr>
        <w:t>1</w:t>
      </w:r>
      <w:r>
        <w:rPr>
          <w:rFonts w:hint="eastAsia" w:ascii="宋体" w:hAnsi="宋体" w:eastAsia="宋体"/>
          <w:b/>
          <w:sz w:val="24"/>
        </w:rPr>
        <w:t>.</w:t>
      </w:r>
      <w:r>
        <w:rPr>
          <w:rFonts w:ascii="宋体" w:hAnsi="宋体" w:eastAsia="宋体"/>
          <w:b/>
          <w:sz w:val="24"/>
        </w:rPr>
        <w:t>分析方法要求</w:t>
      </w:r>
      <w:bookmarkEnd w:id="82"/>
    </w:p>
    <w:p>
      <w:pPr>
        <w:pStyle w:val="67"/>
        <w:adjustRightInd/>
        <w:spacing w:line="360" w:lineRule="auto"/>
        <w:ind w:firstLine="480" w:firstLineChars="200"/>
        <w:rPr>
          <w:rFonts w:ascii="宋体" w:hAnsi="宋体"/>
          <w:color w:val="auto"/>
          <w:sz w:val="24"/>
          <w:szCs w:val="24"/>
        </w:rPr>
      </w:pPr>
      <w:r>
        <w:rPr>
          <w:rFonts w:ascii="宋体" w:hAnsi="宋体"/>
          <w:color w:val="auto"/>
          <w:sz w:val="24"/>
          <w:szCs w:val="24"/>
        </w:rPr>
        <w:t>微型水质自动监测设备性能参数应符合《地表水自动监测技术规范》</w:t>
      </w:r>
      <w:r>
        <w:rPr>
          <w:rFonts w:hint="eastAsia" w:ascii="宋体" w:hAnsi="宋体"/>
          <w:color w:val="auto"/>
          <w:sz w:val="24"/>
          <w:szCs w:val="24"/>
        </w:rPr>
        <w:t>（</w:t>
      </w:r>
      <w:r>
        <w:rPr>
          <w:rFonts w:ascii="宋体" w:hAnsi="宋体"/>
          <w:color w:val="auto"/>
          <w:sz w:val="24"/>
          <w:szCs w:val="24"/>
        </w:rPr>
        <w:t>HJ 915-2017</w:t>
      </w:r>
      <w:r>
        <w:rPr>
          <w:rFonts w:hint="eastAsia" w:ascii="宋体" w:hAnsi="宋体"/>
          <w:color w:val="auto"/>
          <w:sz w:val="24"/>
          <w:szCs w:val="24"/>
        </w:rPr>
        <w:t>）、</w:t>
      </w:r>
      <w:r>
        <w:rPr>
          <w:rFonts w:hint="eastAsia" w:ascii="宋体" w:hAnsi="宋体"/>
          <w:color w:val="auto"/>
          <w:sz w:val="24"/>
        </w:rPr>
        <w:t>《地表水水质自动监测站运行维护技术规范》（试行）等</w:t>
      </w:r>
      <w:r>
        <w:rPr>
          <w:rFonts w:hint="eastAsia" w:ascii="宋体" w:hAnsi="宋体"/>
          <w:color w:val="auto"/>
          <w:sz w:val="24"/>
          <w:szCs w:val="24"/>
        </w:rPr>
        <w:t>有关技术要求</w:t>
      </w:r>
      <w:r>
        <w:rPr>
          <w:rFonts w:ascii="宋体" w:hAnsi="宋体"/>
          <w:color w:val="auto"/>
          <w:sz w:val="24"/>
          <w:szCs w:val="24"/>
        </w:rPr>
        <w:t>，水质自动监测站监测仪器使用如下方法</w:t>
      </w:r>
      <w:r>
        <w:rPr>
          <w:rFonts w:hint="eastAsia" w:ascii="宋体" w:hAnsi="宋体"/>
          <w:color w:val="auto"/>
          <w:sz w:val="24"/>
          <w:szCs w:val="24"/>
        </w:rPr>
        <w:t>（</w:t>
      </w:r>
      <w:r>
        <w:rPr>
          <w:rFonts w:ascii="宋体" w:hAnsi="宋体"/>
          <w:color w:val="auto"/>
          <w:sz w:val="24"/>
          <w:szCs w:val="24"/>
        </w:rPr>
        <w:t>表</w:t>
      </w:r>
      <w:r>
        <w:rPr>
          <w:rFonts w:hint="eastAsia" w:ascii="宋体" w:hAnsi="宋体"/>
          <w:color w:val="auto"/>
          <w:sz w:val="24"/>
          <w:szCs w:val="24"/>
        </w:rPr>
        <w:t>1）</w:t>
      </w:r>
      <w:r>
        <w:rPr>
          <w:rFonts w:ascii="宋体" w:hAnsi="宋体"/>
          <w:color w:val="auto"/>
          <w:sz w:val="24"/>
          <w:szCs w:val="24"/>
        </w:rPr>
        <w:t>。</w:t>
      </w:r>
    </w:p>
    <w:p>
      <w:pPr>
        <w:pStyle w:val="67"/>
        <w:adjustRightInd/>
        <w:spacing w:line="360" w:lineRule="auto"/>
        <w:ind w:firstLine="0"/>
        <w:rPr>
          <w:rFonts w:ascii="宋体" w:hAnsi="宋体"/>
          <w:color w:val="auto"/>
          <w:sz w:val="24"/>
          <w:szCs w:val="24"/>
        </w:rPr>
      </w:pPr>
    </w:p>
    <w:p>
      <w:pPr>
        <w:pStyle w:val="67"/>
        <w:adjustRightInd/>
        <w:spacing w:line="360" w:lineRule="auto"/>
        <w:ind w:firstLine="0"/>
        <w:rPr>
          <w:rFonts w:ascii="宋体" w:hAnsi="宋体"/>
          <w:color w:val="auto"/>
          <w:sz w:val="24"/>
          <w:szCs w:val="24"/>
        </w:rPr>
      </w:pPr>
    </w:p>
    <w:p>
      <w:pPr>
        <w:pStyle w:val="67"/>
        <w:adjustRightInd/>
        <w:spacing w:line="360" w:lineRule="auto"/>
        <w:ind w:firstLine="0"/>
        <w:rPr>
          <w:rFonts w:ascii="宋体" w:hAnsi="宋体"/>
          <w:color w:val="auto"/>
          <w:sz w:val="24"/>
          <w:szCs w:val="24"/>
        </w:rPr>
      </w:pPr>
    </w:p>
    <w:p>
      <w:pPr>
        <w:pStyle w:val="67"/>
        <w:adjustRightInd/>
        <w:spacing w:line="360" w:lineRule="auto"/>
        <w:ind w:firstLine="0"/>
        <w:rPr>
          <w:rFonts w:ascii="宋体" w:hAnsi="宋体"/>
          <w:color w:val="auto"/>
          <w:sz w:val="24"/>
          <w:szCs w:val="24"/>
        </w:rPr>
      </w:pPr>
    </w:p>
    <w:p>
      <w:pPr>
        <w:pStyle w:val="67"/>
        <w:adjustRightInd/>
        <w:spacing w:line="360" w:lineRule="auto"/>
        <w:ind w:firstLine="0"/>
        <w:rPr>
          <w:rFonts w:ascii="宋体" w:hAnsi="宋体"/>
          <w:color w:val="auto"/>
          <w:sz w:val="24"/>
          <w:szCs w:val="24"/>
        </w:rPr>
      </w:pPr>
    </w:p>
    <w:p>
      <w:pPr>
        <w:pStyle w:val="67"/>
        <w:adjustRightInd/>
        <w:spacing w:line="360" w:lineRule="auto"/>
        <w:ind w:firstLine="0"/>
        <w:rPr>
          <w:rFonts w:ascii="宋体" w:hAnsi="宋体"/>
          <w:color w:val="auto"/>
          <w:sz w:val="24"/>
          <w:szCs w:val="24"/>
        </w:rPr>
      </w:pPr>
    </w:p>
    <w:p>
      <w:pPr>
        <w:spacing w:line="360" w:lineRule="auto"/>
        <w:jc w:val="center"/>
        <w:rPr>
          <w:rFonts w:ascii="宋体" w:hAnsi="宋体" w:eastAsia="宋体"/>
          <w:b/>
          <w:kern w:val="0"/>
          <w:sz w:val="24"/>
        </w:rPr>
      </w:pPr>
      <w:r>
        <w:rPr>
          <w:rFonts w:ascii="宋体" w:hAnsi="宋体" w:eastAsia="宋体"/>
          <w:b/>
          <w:kern w:val="0"/>
          <w:sz w:val="24"/>
        </w:rPr>
        <w:t>表</w:t>
      </w:r>
      <w:r>
        <w:rPr>
          <w:rFonts w:hint="eastAsia" w:ascii="宋体" w:hAnsi="宋体" w:eastAsia="宋体"/>
          <w:b/>
          <w:kern w:val="0"/>
          <w:sz w:val="24"/>
        </w:rPr>
        <w:t>1</w:t>
      </w:r>
      <w:r>
        <w:rPr>
          <w:rFonts w:ascii="宋体" w:hAnsi="宋体" w:eastAsia="宋体"/>
          <w:b/>
          <w:kern w:val="0"/>
          <w:sz w:val="24"/>
        </w:rPr>
        <w:t xml:space="preserve"> 自动监测仪器分析方法</w:t>
      </w:r>
    </w:p>
    <w:tbl>
      <w:tblPr>
        <w:tblStyle w:val="25"/>
        <w:tblW w:w="7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Cs w:val="21"/>
              </w:rPr>
            </w:pPr>
            <w:r>
              <w:rPr>
                <w:rFonts w:ascii="宋体" w:hAnsi="宋体" w:eastAsia="宋体"/>
                <w:kern w:val="0"/>
                <w:szCs w:val="21"/>
              </w:rPr>
              <w:t>序号</w:t>
            </w:r>
          </w:p>
        </w:tc>
        <w:tc>
          <w:tcPr>
            <w:tcW w:w="2410" w:type="dxa"/>
            <w:vAlign w:val="center"/>
          </w:tcPr>
          <w:p>
            <w:pPr>
              <w:jc w:val="center"/>
              <w:rPr>
                <w:rFonts w:ascii="宋体" w:hAnsi="宋体" w:eastAsia="宋体"/>
                <w:kern w:val="0"/>
                <w:szCs w:val="21"/>
              </w:rPr>
            </w:pPr>
            <w:r>
              <w:rPr>
                <w:rFonts w:ascii="宋体" w:hAnsi="宋体" w:eastAsia="宋体"/>
                <w:kern w:val="0"/>
                <w:szCs w:val="21"/>
              </w:rPr>
              <w:t>项目</w:t>
            </w:r>
          </w:p>
        </w:tc>
        <w:tc>
          <w:tcPr>
            <w:tcW w:w="4643" w:type="dxa"/>
            <w:vAlign w:val="center"/>
          </w:tcPr>
          <w:p>
            <w:pPr>
              <w:jc w:val="center"/>
              <w:rPr>
                <w:rFonts w:ascii="宋体" w:hAnsi="宋体" w:eastAsia="宋体"/>
                <w:kern w:val="0"/>
                <w:szCs w:val="21"/>
              </w:rPr>
            </w:pPr>
            <w:r>
              <w:rPr>
                <w:rFonts w:ascii="宋体" w:hAnsi="宋体" w:eastAsia="宋体"/>
                <w:kern w:val="0"/>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Cs w:val="21"/>
              </w:rPr>
            </w:pPr>
            <w:r>
              <w:rPr>
                <w:rFonts w:hint="eastAsia" w:ascii="宋体" w:hAnsi="宋体" w:eastAsia="宋体"/>
                <w:kern w:val="0"/>
                <w:szCs w:val="21"/>
              </w:rPr>
              <w:t>1</w:t>
            </w:r>
          </w:p>
        </w:tc>
        <w:tc>
          <w:tcPr>
            <w:tcW w:w="2410" w:type="dxa"/>
            <w:vAlign w:val="center"/>
          </w:tcPr>
          <w:p>
            <w:pPr>
              <w:jc w:val="center"/>
              <w:rPr>
                <w:rFonts w:ascii="宋体" w:hAnsi="宋体" w:eastAsia="宋体"/>
                <w:kern w:val="0"/>
                <w:szCs w:val="21"/>
              </w:rPr>
            </w:pPr>
            <w:r>
              <w:rPr>
                <w:rFonts w:hint="eastAsia" w:ascii="宋体" w:hAnsi="宋体" w:eastAsia="宋体"/>
                <w:kern w:val="0"/>
                <w:szCs w:val="21"/>
              </w:rPr>
              <w:t>化学需氧量</w:t>
            </w:r>
          </w:p>
        </w:tc>
        <w:tc>
          <w:tcPr>
            <w:tcW w:w="4643" w:type="dxa"/>
            <w:vAlign w:val="center"/>
          </w:tcPr>
          <w:p>
            <w:pPr>
              <w:jc w:val="center"/>
              <w:rPr>
                <w:rFonts w:ascii="宋体" w:hAnsi="宋体" w:eastAsia="宋体"/>
                <w:kern w:val="0"/>
                <w:szCs w:val="21"/>
              </w:rPr>
            </w:pPr>
            <w:r>
              <w:rPr>
                <w:rFonts w:ascii="宋体" w:hAnsi="宋体" w:eastAsia="宋体"/>
                <w:kern w:val="0"/>
                <w:szCs w:val="21"/>
              </w:rPr>
              <w:t>UV光谱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Cs w:val="21"/>
              </w:rPr>
            </w:pPr>
            <w:r>
              <w:rPr>
                <w:rFonts w:hint="eastAsia" w:ascii="宋体" w:hAnsi="宋体" w:eastAsia="宋体"/>
                <w:kern w:val="0"/>
                <w:szCs w:val="21"/>
              </w:rPr>
              <w:t>2</w:t>
            </w:r>
          </w:p>
        </w:tc>
        <w:tc>
          <w:tcPr>
            <w:tcW w:w="2410" w:type="dxa"/>
            <w:vAlign w:val="center"/>
          </w:tcPr>
          <w:p>
            <w:pPr>
              <w:jc w:val="center"/>
              <w:rPr>
                <w:rFonts w:ascii="宋体" w:hAnsi="宋体" w:eastAsia="宋体"/>
                <w:kern w:val="0"/>
                <w:szCs w:val="21"/>
              </w:rPr>
            </w:pPr>
            <w:r>
              <w:rPr>
                <w:rFonts w:ascii="宋体" w:hAnsi="宋体" w:eastAsia="宋体"/>
                <w:kern w:val="0"/>
                <w:szCs w:val="21"/>
              </w:rPr>
              <w:t>氨氮</w:t>
            </w:r>
          </w:p>
        </w:tc>
        <w:tc>
          <w:tcPr>
            <w:tcW w:w="4643" w:type="dxa"/>
            <w:vAlign w:val="center"/>
          </w:tcPr>
          <w:p>
            <w:pPr>
              <w:jc w:val="center"/>
              <w:rPr>
                <w:rFonts w:ascii="宋体" w:hAnsi="宋体" w:eastAsia="宋体"/>
                <w:kern w:val="0"/>
                <w:szCs w:val="21"/>
              </w:rPr>
            </w:pPr>
            <w:r>
              <w:rPr>
                <w:rFonts w:hint="eastAsia" w:ascii="宋体" w:hAnsi="宋体" w:eastAsia="宋体"/>
                <w:kern w:val="0"/>
                <w:szCs w:val="21"/>
              </w:rPr>
              <w:t>离子选择电极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Cs w:val="21"/>
              </w:rPr>
            </w:pPr>
            <w:r>
              <w:rPr>
                <w:rFonts w:hint="eastAsia" w:ascii="宋体" w:hAnsi="宋体" w:eastAsia="宋体"/>
                <w:kern w:val="0"/>
                <w:szCs w:val="21"/>
              </w:rPr>
              <w:t>3</w:t>
            </w:r>
          </w:p>
        </w:tc>
        <w:tc>
          <w:tcPr>
            <w:tcW w:w="2410" w:type="dxa"/>
            <w:vAlign w:val="center"/>
          </w:tcPr>
          <w:p>
            <w:pPr>
              <w:jc w:val="center"/>
              <w:rPr>
                <w:rFonts w:ascii="宋体" w:hAnsi="宋体" w:eastAsia="宋体"/>
                <w:kern w:val="0"/>
                <w:szCs w:val="21"/>
              </w:rPr>
            </w:pPr>
            <w:r>
              <w:rPr>
                <w:rFonts w:hint="eastAsia" w:ascii="宋体" w:hAnsi="宋体" w:eastAsia="宋体"/>
                <w:kern w:val="0"/>
                <w:szCs w:val="21"/>
              </w:rPr>
              <w:t>水温</w:t>
            </w:r>
          </w:p>
        </w:tc>
        <w:tc>
          <w:tcPr>
            <w:tcW w:w="4643" w:type="dxa"/>
            <w:vAlign w:val="center"/>
          </w:tcPr>
          <w:p>
            <w:pPr>
              <w:jc w:val="center"/>
              <w:rPr>
                <w:rFonts w:ascii="宋体" w:hAnsi="宋体" w:eastAsia="宋体"/>
                <w:kern w:val="0"/>
                <w:szCs w:val="21"/>
              </w:rPr>
            </w:pPr>
            <w:r>
              <w:rPr>
                <w:rFonts w:ascii="宋体" w:hAnsi="宋体" w:eastAsia="宋体"/>
                <w:szCs w:val="21"/>
              </w:rPr>
              <w:t>热电阻或热电偶法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Cs w:val="21"/>
              </w:rPr>
            </w:pPr>
            <w:r>
              <w:rPr>
                <w:rFonts w:hint="eastAsia" w:ascii="宋体" w:hAnsi="宋体" w:eastAsia="宋体"/>
                <w:kern w:val="0"/>
                <w:szCs w:val="21"/>
              </w:rPr>
              <w:t>4</w:t>
            </w:r>
          </w:p>
        </w:tc>
        <w:tc>
          <w:tcPr>
            <w:tcW w:w="2410" w:type="dxa"/>
            <w:vAlign w:val="center"/>
          </w:tcPr>
          <w:p>
            <w:pPr>
              <w:jc w:val="center"/>
              <w:rPr>
                <w:rFonts w:ascii="宋体" w:hAnsi="宋体" w:eastAsia="宋体"/>
                <w:kern w:val="0"/>
                <w:szCs w:val="21"/>
              </w:rPr>
            </w:pPr>
            <w:r>
              <w:rPr>
                <w:rFonts w:hint="eastAsia" w:ascii="宋体" w:hAnsi="宋体" w:eastAsia="宋体"/>
                <w:kern w:val="0"/>
                <w:szCs w:val="21"/>
              </w:rPr>
              <w:t>pH</w:t>
            </w:r>
          </w:p>
        </w:tc>
        <w:tc>
          <w:tcPr>
            <w:tcW w:w="4643" w:type="dxa"/>
            <w:vAlign w:val="center"/>
          </w:tcPr>
          <w:p>
            <w:pPr>
              <w:jc w:val="center"/>
              <w:rPr>
                <w:rFonts w:ascii="宋体" w:hAnsi="宋体" w:eastAsia="宋体"/>
                <w:kern w:val="0"/>
                <w:szCs w:val="21"/>
              </w:rPr>
            </w:pPr>
            <w:r>
              <w:rPr>
                <w:rFonts w:ascii="宋体" w:hAnsi="宋体" w:eastAsia="宋体"/>
                <w:kern w:val="0"/>
                <w:szCs w:val="21"/>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Cs w:val="21"/>
              </w:rPr>
            </w:pPr>
            <w:r>
              <w:rPr>
                <w:rFonts w:hint="eastAsia" w:ascii="宋体" w:hAnsi="宋体" w:eastAsia="宋体"/>
                <w:kern w:val="0"/>
                <w:szCs w:val="21"/>
              </w:rPr>
              <w:t>5</w:t>
            </w:r>
          </w:p>
        </w:tc>
        <w:tc>
          <w:tcPr>
            <w:tcW w:w="2410" w:type="dxa"/>
            <w:vAlign w:val="center"/>
          </w:tcPr>
          <w:p>
            <w:pPr>
              <w:jc w:val="center"/>
              <w:rPr>
                <w:rFonts w:ascii="宋体" w:hAnsi="宋体" w:eastAsia="宋体"/>
                <w:kern w:val="0"/>
                <w:szCs w:val="21"/>
              </w:rPr>
            </w:pPr>
            <w:r>
              <w:rPr>
                <w:rFonts w:ascii="宋体" w:hAnsi="宋体" w:eastAsia="宋体"/>
                <w:kern w:val="0"/>
                <w:szCs w:val="21"/>
              </w:rPr>
              <w:t>溶解氧</w:t>
            </w:r>
          </w:p>
        </w:tc>
        <w:tc>
          <w:tcPr>
            <w:tcW w:w="4643" w:type="dxa"/>
            <w:vAlign w:val="center"/>
          </w:tcPr>
          <w:p>
            <w:pPr>
              <w:jc w:val="center"/>
              <w:rPr>
                <w:rFonts w:ascii="宋体" w:hAnsi="宋体" w:eastAsia="宋体"/>
                <w:kern w:val="0"/>
                <w:szCs w:val="21"/>
              </w:rPr>
            </w:pPr>
            <w:r>
              <w:rPr>
                <w:rFonts w:ascii="宋体" w:hAnsi="宋体" w:eastAsia="宋体"/>
                <w:kern w:val="0"/>
                <w:szCs w:val="21"/>
              </w:rPr>
              <w:t>电化学法</w:t>
            </w:r>
            <w:r>
              <w:rPr>
                <w:rFonts w:hint="eastAsia" w:ascii="宋体" w:hAnsi="宋体" w:eastAsia="宋体"/>
                <w:kern w:val="0"/>
                <w:szCs w:val="21"/>
              </w:rPr>
              <w:t>/</w:t>
            </w:r>
            <w:r>
              <w:rPr>
                <w:rFonts w:ascii="宋体" w:hAnsi="宋体" w:eastAsia="宋体"/>
                <w:kern w:val="0"/>
                <w:szCs w:val="21"/>
              </w:rPr>
              <w:t>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Cs w:val="21"/>
              </w:rPr>
            </w:pPr>
            <w:r>
              <w:rPr>
                <w:rFonts w:hint="eastAsia" w:ascii="宋体" w:hAnsi="宋体" w:eastAsia="宋体"/>
                <w:kern w:val="0"/>
                <w:szCs w:val="21"/>
              </w:rPr>
              <w:t>6</w:t>
            </w:r>
          </w:p>
        </w:tc>
        <w:tc>
          <w:tcPr>
            <w:tcW w:w="2410" w:type="dxa"/>
            <w:vAlign w:val="center"/>
          </w:tcPr>
          <w:p>
            <w:pPr>
              <w:jc w:val="center"/>
              <w:rPr>
                <w:rFonts w:ascii="宋体" w:hAnsi="宋体" w:eastAsia="宋体"/>
                <w:kern w:val="0"/>
                <w:szCs w:val="21"/>
              </w:rPr>
            </w:pPr>
            <w:r>
              <w:rPr>
                <w:rFonts w:ascii="宋体" w:hAnsi="宋体" w:eastAsia="宋体"/>
                <w:kern w:val="0"/>
                <w:szCs w:val="21"/>
              </w:rPr>
              <w:t>电导率</w:t>
            </w:r>
          </w:p>
        </w:tc>
        <w:tc>
          <w:tcPr>
            <w:tcW w:w="4643" w:type="dxa"/>
            <w:vAlign w:val="center"/>
          </w:tcPr>
          <w:p>
            <w:pPr>
              <w:jc w:val="center"/>
              <w:rPr>
                <w:rFonts w:ascii="宋体" w:hAnsi="宋体" w:eastAsia="宋体"/>
                <w:kern w:val="0"/>
                <w:szCs w:val="21"/>
              </w:rPr>
            </w:pPr>
            <w:r>
              <w:rPr>
                <w:rFonts w:ascii="宋体" w:hAnsi="宋体" w:eastAsia="宋体"/>
                <w:kern w:val="0"/>
                <w:szCs w:val="21"/>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jc w:val="center"/>
              <w:rPr>
                <w:rFonts w:ascii="宋体" w:hAnsi="宋体" w:eastAsia="宋体"/>
                <w:kern w:val="0"/>
                <w:szCs w:val="21"/>
              </w:rPr>
            </w:pPr>
            <w:r>
              <w:rPr>
                <w:rFonts w:hint="eastAsia" w:ascii="宋体" w:hAnsi="宋体" w:eastAsia="宋体"/>
                <w:kern w:val="0"/>
                <w:szCs w:val="21"/>
              </w:rPr>
              <w:t>7</w:t>
            </w:r>
          </w:p>
        </w:tc>
        <w:tc>
          <w:tcPr>
            <w:tcW w:w="2410" w:type="dxa"/>
            <w:vAlign w:val="center"/>
          </w:tcPr>
          <w:p>
            <w:pPr>
              <w:jc w:val="center"/>
              <w:rPr>
                <w:rFonts w:ascii="宋体" w:hAnsi="宋体" w:eastAsia="宋体"/>
                <w:kern w:val="0"/>
                <w:szCs w:val="21"/>
              </w:rPr>
            </w:pPr>
            <w:r>
              <w:rPr>
                <w:rFonts w:hint="eastAsia" w:ascii="宋体" w:hAnsi="宋体" w:eastAsia="宋体"/>
                <w:kern w:val="0"/>
                <w:szCs w:val="21"/>
              </w:rPr>
              <w:t>浊度</w:t>
            </w:r>
          </w:p>
        </w:tc>
        <w:tc>
          <w:tcPr>
            <w:tcW w:w="4643" w:type="dxa"/>
            <w:vAlign w:val="center"/>
          </w:tcPr>
          <w:p>
            <w:pPr>
              <w:jc w:val="center"/>
              <w:rPr>
                <w:rFonts w:ascii="宋体" w:hAnsi="宋体" w:eastAsia="宋体"/>
                <w:kern w:val="0"/>
                <w:szCs w:val="21"/>
              </w:rPr>
            </w:pPr>
            <w:r>
              <w:rPr>
                <w:rFonts w:hint="eastAsia" w:ascii="宋体" w:hAnsi="宋体" w:eastAsia="宋体"/>
                <w:kern w:val="0"/>
                <w:szCs w:val="21"/>
              </w:rPr>
              <w:t>光散射法</w:t>
            </w:r>
          </w:p>
        </w:tc>
      </w:tr>
    </w:tbl>
    <w:p>
      <w:pPr>
        <w:autoSpaceDE w:val="0"/>
        <w:autoSpaceDN w:val="0"/>
        <w:spacing w:line="360" w:lineRule="auto"/>
        <w:jc w:val="left"/>
        <w:outlineLvl w:val="4"/>
        <w:rPr>
          <w:rFonts w:ascii="宋体" w:hAnsi="宋体" w:eastAsia="宋体"/>
          <w:b/>
          <w:kern w:val="0"/>
          <w:sz w:val="24"/>
        </w:rPr>
      </w:pPr>
      <w:bookmarkStart w:id="83" w:name="_Toc302225674"/>
      <w:r>
        <w:rPr>
          <w:rFonts w:hint="eastAsia" w:ascii="宋体" w:hAnsi="宋体" w:eastAsia="宋体"/>
          <w:b/>
          <w:kern w:val="0"/>
          <w:sz w:val="24"/>
        </w:rPr>
        <w:t>2.</w:t>
      </w:r>
      <w:r>
        <w:rPr>
          <w:rFonts w:ascii="宋体" w:hAnsi="宋体" w:eastAsia="宋体"/>
          <w:b/>
          <w:kern w:val="0"/>
          <w:sz w:val="24"/>
        </w:rPr>
        <w:t>仪表功能</w:t>
      </w:r>
      <w:bookmarkEnd w:id="83"/>
    </w:p>
    <w:p>
      <w:pPr>
        <w:autoSpaceDE w:val="0"/>
        <w:autoSpaceDN w:val="0"/>
        <w:spacing w:line="360" w:lineRule="auto"/>
        <w:jc w:val="left"/>
        <w:rPr>
          <w:rFonts w:ascii="宋体" w:hAnsi="宋体" w:eastAsia="宋体"/>
          <w:kern w:val="0"/>
          <w:sz w:val="24"/>
        </w:rPr>
      </w:pPr>
      <w:r>
        <w:rPr>
          <w:rFonts w:ascii="宋体" w:hAnsi="宋体" w:eastAsia="宋体"/>
          <w:kern w:val="0"/>
          <w:sz w:val="24"/>
        </w:rPr>
        <w:t>（1）分析仪表具有数据存储，断电，断水自动保护与恢复功能，由相关控制软件完成，断电数据能保存30天</w:t>
      </w:r>
      <w:r>
        <w:rPr>
          <w:rFonts w:hint="eastAsia" w:ascii="宋体" w:hAnsi="宋体" w:eastAsia="宋体"/>
          <w:kern w:val="0"/>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（2）具有仪器故障自动报警功能和异常值自动报警功能，由相关控制软件完成判断和报警。当出现浓度检测超量程时，在切换量程的同时，发出报警</w:t>
      </w:r>
      <w:r>
        <w:rPr>
          <w:rFonts w:hint="eastAsia" w:ascii="宋体" w:hAnsi="宋体" w:eastAsia="宋体"/>
          <w:kern w:val="0"/>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（3）自动清洗功能：可根据需要设定清洗频次，由控制软件完成</w:t>
      </w:r>
      <w:r>
        <w:rPr>
          <w:rFonts w:hint="eastAsia" w:ascii="宋体" w:hAnsi="宋体" w:eastAsia="宋体"/>
          <w:kern w:val="0"/>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（4）时间设置功能：可根据需要设定监测频次，由控制软件完成</w:t>
      </w:r>
      <w:r>
        <w:rPr>
          <w:rFonts w:hint="eastAsia" w:ascii="宋体" w:hAnsi="宋体" w:eastAsia="宋体"/>
          <w:kern w:val="0"/>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（5）监测频率可调</w:t>
      </w:r>
      <w:r>
        <w:rPr>
          <w:rFonts w:hint="eastAsia" w:ascii="宋体" w:hAnsi="宋体" w:eastAsia="宋体"/>
          <w:kern w:val="0"/>
          <w:sz w:val="24"/>
        </w:rPr>
        <w:t>：</w:t>
      </w:r>
      <w:r>
        <w:rPr>
          <w:rFonts w:ascii="宋体" w:hAnsi="宋体" w:eastAsia="宋体"/>
          <w:sz w:val="24"/>
        </w:rPr>
        <w:t>可根据实际情况进行周期调整，满足现场检测的需要</w:t>
      </w:r>
      <w:r>
        <w:rPr>
          <w:rFonts w:hint="eastAsia" w:ascii="宋体" w:hAnsi="宋体" w:eastAsia="宋体"/>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（6）定期自动校准功能：可使用相关控制软件来自由设定自动校正的周期</w:t>
      </w:r>
      <w:r>
        <w:rPr>
          <w:rFonts w:hint="eastAsia" w:ascii="宋体" w:hAnsi="宋体" w:eastAsia="宋体"/>
          <w:kern w:val="0"/>
          <w:sz w:val="24"/>
        </w:rPr>
        <w:t>。</w:t>
      </w:r>
    </w:p>
    <w:p>
      <w:pPr>
        <w:autoSpaceDE w:val="0"/>
        <w:autoSpaceDN w:val="0"/>
        <w:spacing w:line="360" w:lineRule="auto"/>
        <w:jc w:val="left"/>
        <w:rPr>
          <w:rFonts w:ascii="宋体" w:hAnsi="宋体" w:eastAsia="宋体"/>
          <w:kern w:val="0"/>
          <w:sz w:val="24"/>
        </w:rPr>
      </w:pPr>
      <w:r>
        <w:rPr>
          <w:rFonts w:ascii="宋体" w:hAnsi="宋体" w:eastAsia="宋体"/>
          <w:kern w:val="0"/>
          <w:sz w:val="24"/>
        </w:rPr>
        <w:t>（7）仪器状态远程显示功能：由相关控制软件完成。</w:t>
      </w:r>
    </w:p>
    <w:p>
      <w:pPr>
        <w:autoSpaceDE w:val="0"/>
        <w:autoSpaceDN w:val="0"/>
        <w:spacing w:line="360" w:lineRule="auto"/>
        <w:jc w:val="left"/>
        <w:rPr>
          <w:rFonts w:ascii="宋体" w:hAnsi="宋体" w:eastAsia="宋体"/>
          <w:kern w:val="0"/>
          <w:sz w:val="24"/>
        </w:rPr>
      </w:pPr>
      <w:r>
        <w:rPr>
          <w:rFonts w:hint="eastAsia" w:ascii="宋体" w:hAnsi="宋体" w:eastAsia="宋体"/>
          <w:kern w:val="0"/>
          <w:sz w:val="24"/>
        </w:rPr>
        <w:t>（8）监测频率可调、分时读取功能：所有分析仪表的输出信号采用</w:t>
      </w:r>
      <w:r>
        <w:rPr>
          <w:rFonts w:ascii="宋体" w:hAnsi="宋体" w:eastAsia="宋体"/>
          <w:kern w:val="0"/>
          <w:sz w:val="24"/>
        </w:rPr>
        <w:t>RS232</w:t>
      </w:r>
      <w:r>
        <w:rPr>
          <w:rFonts w:hint="eastAsia" w:ascii="宋体" w:hAnsi="宋体" w:eastAsia="宋体"/>
          <w:kern w:val="0"/>
          <w:sz w:val="24"/>
        </w:rPr>
        <w:t>、</w:t>
      </w:r>
      <w:r>
        <w:rPr>
          <w:rFonts w:ascii="宋体" w:hAnsi="宋体" w:eastAsia="宋体"/>
          <w:kern w:val="0"/>
          <w:sz w:val="24"/>
        </w:rPr>
        <w:t>RS485</w:t>
      </w:r>
      <w:r>
        <w:rPr>
          <w:rFonts w:hint="eastAsia" w:ascii="宋体" w:hAnsi="宋体" w:eastAsia="宋体"/>
          <w:kern w:val="0"/>
          <w:sz w:val="24"/>
        </w:rPr>
        <w:t>、</w:t>
      </w:r>
      <w:r>
        <w:rPr>
          <w:rFonts w:ascii="宋体" w:hAnsi="宋体" w:eastAsia="宋体"/>
          <w:kern w:val="0"/>
          <w:sz w:val="24"/>
        </w:rPr>
        <w:t>RJ45</w:t>
      </w:r>
      <w:r>
        <w:rPr>
          <w:rFonts w:hint="eastAsia" w:ascii="宋体" w:hAnsi="宋体" w:eastAsia="宋体"/>
          <w:kern w:val="0"/>
          <w:sz w:val="24"/>
        </w:rPr>
        <w:t>等标准通信接口；针对连续测量、测量周期短和测量周期长的不同分析仪的输出特点，采用监测频率可调、分时读取的方式进行。</w:t>
      </w:r>
    </w:p>
    <w:p>
      <w:pPr>
        <w:spacing w:line="360" w:lineRule="auto"/>
        <w:outlineLvl w:val="4"/>
        <w:rPr>
          <w:rFonts w:ascii="宋体" w:hAnsi="宋体" w:eastAsia="宋体"/>
          <w:b/>
          <w:sz w:val="24"/>
        </w:rPr>
      </w:pPr>
      <w:bookmarkStart w:id="84" w:name="_Toc302225675"/>
      <w:r>
        <w:rPr>
          <w:rFonts w:ascii="宋体" w:hAnsi="宋体" w:eastAsia="宋体"/>
          <w:b/>
          <w:sz w:val="24"/>
        </w:rPr>
        <w:t>4</w:t>
      </w:r>
      <w:r>
        <w:rPr>
          <w:rFonts w:hint="eastAsia" w:ascii="宋体" w:hAnsi="宋体" w:eastAsia="宋体"/>
          <w:b/>
          <w:sz w:val="24"/>
        </w:rPr>
        <w:t>.</w:t>
      </w:r>
      <w:r>
        <w:rPr>
          <w:rFonts w:ascii="宋体" w:hAnsi="宋体" w:eastAsia="宋体"/>
          <w:b/>
          <w:sz w:val="24"/>
        </w:rPr>
        <w:t>仪表技术指标</w:t>
      </w:r>
      <w:bookmarkEnd w:id="84"/>
      <w:bookmarkStart w:id="85" w:name="_Toc302225676"/>
    </w:p>
    <w:bookmarkEnd w:id="85"/>
    <w:p>
      <w:pPr>
        <w:spacing w:line="360" w:lineRule="auto"/>
        <w:rPr>
          <w:rFonts w:ascii="宋体" w:hAnsi="宋体" w:eastAsia="宋体"/>
          <w:kern w:val="0"/>
          <w:sz w:val="24"/>
        </w:rPr>
      </w:pPr>
      <w:bookmarkStart w:id="86" w:name="_Toc302225677"/>
      <w:r>
        <w:rPr>
          <w:rFonts w:ascii="宋体" w:hAnsi="宋体" w:eastAsia="宋体"/>
          <w:kern w:val="0"/>
          <w:sz w:val="24"/>
        </w:rPr>
        <w:t>（</w:t>
      </w:r>
      <w:r>
        <w:rPr>
          <w:rFonts w:hint="eastAsia" w:ascii="宋体" w:hAnsi="宋体" w:eastAsia="宋体"/>
          <w:kern w:val="0"/>
          <w:sz w:val="24"/>
        </w:rPr>
        <w:t>1</w:t>
      </w:r>
      <w:r>
        <w:rPr>
          <w:rFonts w:ascii="宋体" w:hAnsi="宋体" w:eastAsia="宋体"/>
          <w:kern w:val="0"/>
          <w:sz w:val="24"/>
        </w:rPr>
        <w:t>）</w:t>
      </w:r>
      <w:r>
        <w:rPr>
          <w:rFonts w:hint="eastAsia" w:ascii="宋体" w:hAnsi="宋体" w:eastAsia="宋体"/>
          <w:kern w:val="0"/>
          <w:sz w:val="24"/>
        </w:rPr>
        <w:t>化学需氧量</w:t>
      </w:r>
      <w:r>
        <w:rPr>
          <w:rFonts w:ascii="宋体" w:hAnsi="宋体" w:eastAsia="宋体"/>
          <w:sz w:val="24"/>
        </w:rPr>
        <w:t>自动分析仪技术参数</w:t>
      </w:r>
    </w:p>
    <w:tbl>
      <w:tblPr>
        <w:tblStyle w:val="25"/>
        <w:tblW w:w="7229" w:type="dxa"/>
        <w:jc w:val="center"/>
        <w:tblInd w:w="0" w:type="dxa"/>
        <w:tblLayout w:type="fixed"/>
        <w:tblCellMar>
          <w:top w:w="0" w:type="dxa"/>
          <w:left w:w="108" w:type="dxa"/>
          <w:bottom w:w="0" w:type="dxa"/>
          <w:right w:w="108" w:type="dxa"/>
        </w:tblCellMar>
      </w:tblPr>
      <w:tblGrid>
        <w:gridCol w:w="2439"/>
        <w:gridCol w:w="4790"/>
      </w:tblGrid>
      <w:tr>
        <w:tblPrEx>
          <w:tblLayout w:type="fixed"/>
          <w:tblCellMar>
            <w:top w:w="0" w:type="dxa"/>
            <w:left w:w="108" w:type="dxa"/>
            <w:bottom w:w="0" w:type="dxa"/>
            <w:right w:w="108" w:type="dxa"/>
          </w:tblCellMar>
        </w:tblPrEx>
        <w:trPr>
          <w:jc w:val="center"/>
        </w:trPr>
        <w:tc>
          <w:tcPr>
            <w:tcW w:w="243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b/>
                <w:kern w:val="0"/>
                <w:szCs w:val="21"/>
              </w:rPr>
            </w:pPr>
            <w:r>
              <w:rPr>
                <w:rFonts w:hint="eastAsia" w:ascii="宋体" w:hAnsi="宋体" w:eastAsia="宋体"/>
                <w:b/>
                <w:kern w:val="0"/>
                <w:szCs w:val="21"/>
              </w:rPr>
              <w:t>项目</w:t>
            </w:r>
          </w:p>
        </w:tc>
        <w:tc>
          <w:tcPr>
            <w:tcW w:w="479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b/>
                <w:kern w:val="0"/>
                <w:szCs w:val="21"/>
              </w:rPr>
            </w:pPr>
            <w:r>
              <w:rPr>
                <w:rFonts w:ascii="宋体" w:hAnsi="宋体" w:eastAsia="宋体"/>
                <w:b/>
                <w:kern w:val="0"/>
                <w:szCs w:val="21"/>
              </w:rPr>
              <w:t>技术</w:t>
            </w:r>
            <w:r>
              <w:rPr>
                <w:rFonts w:hint="eastAsia" w:ascii="宋体" w:hAnsi="宋体" w:eastAsia="宋体"/>
                <w:b/>
                <w:kern w:val="0"/>
                <w:szCs w:val="21"/>
              </w:rPr>
              <w:t>指标</w:t>
            </w:r>
          </w:p>
        </w:tc>
      </w:tr>
      <w:tr>
        <w:tblPrEx>
          <w:tblLayout w:type="fixed"/>
          <w:tblCellMar>
            <w:top w:w="0" w:type="dxa"/>
            <w:left w:w="108" w:type="dxa"/>
            <w:bottom w:w="0" w:type="dxa"/>
            <w:right w:w="108" w:type="dxa"/>
          </w:tblCellMar>
        </w:tblPrEx>
        <w:trPr>
          <w:jc w:val="center"/>
        </w:trPr>
        <w:tc>
          <w:tcPr>
            <w:tcW w:w="243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检测方法</w:t>
            </w:r>
          </w:p>
        </w:tc>
        <w:tc>
          <w:tcPr>
            <w:tcW w:w="479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UV光谱</w:t>
            </w:r>
          </w:p>
        </w:tc>
      </w:tr>
      <w:tr>
        <w:tblPrEx>
          <w:tblLayout w:type="fixed"/>
          <w:tblCellMar>
            <w:top w:w="0" w:type="dxa"/>
            <w:left w:w="108" w:type="dxa"/>
            <w:bottom w:w="0" w:type="dxa"/>
            <w:right w:w="108" w:type="dxa"/>
          </w:tblCellMar>
        </w:tblPrEx>
        <w:trPr>
          <w:jc w:val="center"/>
        </w:trPr>
        <w:tc>
          <w:tcPr>
            <w:tcW w:w="243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测量范围</w:t>
            </w:r>
          </w:p>
        </w:tc>
        <w:tc>
          <w:tcPr>
            <w:tcW w:w="479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0-200mg/L，</w:t>
            </w:r>
            <w:r>
              <w:rPr>
                <w:rFonts w:hint="eastAsia" w:ascii="宋体" w:hAnsi="宋体" w:eastAsia="宋体"/>
                <w:kern w:val="0"/>
                <w:szCs w:val="21"/>
              </w:rPr>
              <w:t>可</w:t>
            </w:r>
            <w:r>
              <w:rPr>
                <w:rFonts w:ascii="宋体" w:hAnsi="宋体" w:eastAsia="宋体"/>
                <w:kern w:val="0"/>
                <w:szCs w:val="21"/>
              </w:rPr>
              <w:t>扩展</w:t>
            </w:r>
          </w:p>
        </w:tc>
      </w:tr>
      <w:tr>
        <w:tblPrEx>
          <w:tblLayout w:type="fixed"/>
          <w:tblCellMar>
            <w:top w:w="0" w:type="dxa"/>
            <w:left w:w="108" w:type="dxa"/>
            <w:bottom w:w="0" w:type="dxa"/>
            <w:right w:w="108" w:type="dxa"/>
          </w:tblCellMar>
        </w:tblPrEx>
        <w:trPr>
          <w:jc w:val="center"/>
        </w:trPr>
        <w:tc>
          <w:tcPr>
            <w:tcW w:w="243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精密度</w:t>
            </w:r>
          </w:p>
        </w:tc>
        <w:tc>
          <w:tcPr>
            <w:tcW w:w="479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±5%</w:t>
            </w:r>
          </w:p>
        </w:tc>
      </w:tr>
      <w:tr>
        <w:tblPrEx>
          <w:tblLayout w:type="fixed"/>
          <w:tblCellMar>
            <w:top w:w="0" w:type="dxa"/>
            <w:left w:w="108" w:type="dxa"/>
            <w:bottom w:w="0" w:type="dxa"/>
            <w:right w:w="108" w:type="dxa"/>
          </w:tblCellMar>
        </w:tblPrEx>
        <w:trPr>
          <w:jc w:val="center"/>
        </w:trPr>
        <w:tc>
          <w:tcPr>
            <w:tcW w:w="243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零点漂移</w:t>
            </w:r>
          </w:p>
        </w:tc>
        <w:tc>
          <w:tcPr>
            <w:tcW w:w="479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±5 mg/L</w:t>
            </w:r>
          </w:p>
        </w:tc>
      </w:tr>
      <w:tr>
        <w:tblPrEx>
          <w:tblLayout w:type="fixed"/>
          <w:tblCellMar>
            <w:top w:w="0" w:type="dxa"/>
            <w:left w:w="108" w:type="dxa"/>
            <w:bottom w:w="0" w:type="dxa"/>
            <w:right w:w="108" w:type="dxa"/>
          </w:tblCellMar>
        </w:tblPrEx>
        <w:trPr>
          <w:jc w:val="center"/>
        </w:trPr>
        <w:tc>
          <w:tcPr>
            <w:tcW w:w="243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重现性</w:t>
            </w:r>
          </w:p>
        </w:tc>
        <w:tc>
          <w:tcPr>
            <w:tcW w:w="479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±10%</w:t>
            </w:r>
          </w:p>
        </w:tc>
      </w:tr>
      <w:tr>
        <w:tblPrEx>
          <w:tblLayout w:type="fixed"/>
          <w:tblCellMar>
            <w:top w:w="0" w:type="dxa"/>
            <w:left w:w="108" w:type="dxa"/>
            <w:bottom w:w="0" w:type="dxa"/>
            <w:right w:w="108" w:type="dxa"/>
          </w:tblCellMar>
        </w:tblPrEx>
        <w:trPr>
          <w:jc w:val="center"/>
        </w:trPr>
        <w:tc>
          <w:tcPr>
            <w:tcW w:w="243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示值误差</w:t>
            </w:r>
          </w:p>
        </w:tc>
        <w:tc>
          <w:tcPr>
            <w:tcW w:w="479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±10%</w:t>
            </w:r>
          </w:p>
        </w:tc>
      </w:tr>
      <w:tr>
        <w:tblPrEx>
          <w:tblLayout w:type="fixed"/>
          <w:tblCellMar>
            <w:top w:w="0" w:type="dxa"/>
            <w:left w:w="108" w:type="dxa"/>
            <w:bottom w:w="0" w:type="dxa"/>
            <w:right w:w="108" w:type="dxa"/>
          </w:tblCellMar>
        </w:tblPrEx>
        <w:trPr>
          <w:jc w:val="center"/>
        </w:trPr>
        <w:tc>
          <w:tcPr>
            <w:tcW w:w="243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一致性</w:t>
            </w:r>
          </w:p>
        </w:tc>
        <w:tc>
          <w:tcPr>
            <w:tcW w:w="479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≤10%</w:t>
            </w:r>
          </w:p>
        </w:tc>
      </w:tr>
      <w:tr>
        <w:tblPrEx>
          <w:tblLayout w:type="fixed"/>
          <w:tblCellMar>
            <w:top w:w="0" w:type="dxa"/>
            <w:left w:w="108" w:type="dxa"/>
            <w:bottom w:w="0" w:type="dxa"/>
            <w:right w:w="108" w:type="dxa"/>
          </w:tblCellMar>
        </w:tblPrEx>
        <w:trPr>
          <w:jc w:val="center"/>
        </w:trPr>
        <w:tc>
          <w:tcPr>
            <w:tcW w:w="243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实际水样比对试验</w:t>
            </w:r>
          </w:p>
        </w:tc>
        <w:tc>
          <w:tcPr>
            <w:tcW w:w="479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hint="eastAsia" w:ascii="宋体" w:hAnsi="宋体" w:eastAsia="宋体" w:cs="宋体"/>
                <w:bCs/>
                <w:szCs w:val="21"/>
              </w:rPr>
              <w:t>≤</w:t>
            </w:r>
            <w:r>
              <w:rPr>
                <w:rFonts w:ascii="宋体" w:hAnsi="宋体" w:eastAsia="宋体"/>
                <w:kern w:val="0"/>
                <w:szCs w:val="21"/>
              </w:rPr>
              <w:t>±</w:t>
            </w:r>
            <w:r>
              <w:rPr>
                <w:rFonts w:hint="eastAsia" w:ascii="宋体" w:hAnsi="宋体" w:eastAsia="宋体" w:cs="宋体"/>
                <w:bCs/>
                <w:szCs w:val="21"/>
              </w:rPr>
              <w:t>30%</w:t>
            </w:r>
          </w:p>
        </w:tc>
      </w:tr>
      <w:tr>
        <w:tblPrEx>
          <w:tblLayout w:type="fixed"/>
          <w:tblCellMar>
            <w:top w:w="0" w:type="dxa"/>
            <w:left w:w="108" w:type="dxa"/>
            <w:bottom w:w="0" w:type="dxa"/>
            <w:right w:w="108" w:type="dxa"/>
          </w:tblCellMar>
        </w:tblPrEx>
        <w:trPr>
          <w:jc w:val="center"/>
        </w:trPr>
        <w:tc>
          <w:tcPr>
            <w:tcW w:w="243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最小维护周期</w:t>
            </w:r>
          </w:p>
        </w:tc>
        <w:tc>
          <w:tcPr>
            <w:tcW w:w="479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jc w:val="center"/>
              <w:rPr>
                <w:rFonts w:ascii="宋体" w:hAnsi="宋体" w:eastAsia="宋体"/>
                <w:kern w:val="0"/>
                <w:szCs w:val="21"/>
              </w:rPr>
            </w:pPr>
            <w:r>
              <w:rPr>
                <w:rFonts w:ascii="宋体" w:hAnsi="宋体" w:eastAsia="宋体"/>
                <w:kern w:val="0"/>
                <w:szCs w:val="21"/>
              </w:rPr>
              <w:t>≥168h</w:t>
            </w:r>
          </w:p>
        </w:tc>
      </w:tr>
    </w:tbl>
    <w:p>
      <w:pPr>
        <w:spacing w:line="360" w:lineRule="auto"/>
        <w:rPr>
          <w:rFonts w:ascii="宋体" w:hAnsi="宋体" w:eastAsia="宋体"/>
          <w:sz w:val="24"/>
        </w:rPr>
      </w:pPr>
      <w:r>
        <w:rPr>
          <w:rFonts w:ascii="宋体" w:hAnsi="宋体" w:eastAsia="宋体"/>
          <w:kern w:val="0"/>
          <w:sz w:val="24"/>
        </w:rPr>
        <w:t>（</w:t>
      </w:r>
      <w:r>
        <w:rPr>
          <w:rFonts w:hint="eastAsia" w:ascii="宋体" w:hAnsi="宋体" w:eastAsia="宋体"/>
          <w:kern w:val="0"/>
          <w:sz w:val="24"/>
        </w:rPr>
        <w:t>2</w:t>
      </w:r>
      <w:r>
        <w:rPr>
          <w:rFonts w:ascii="宋体" w:hAnsi="宋体" w:eastAsia="宋体"/>
          <w:kern w:val="0"/>
          <w:sz w:val="24"/>
        </w:rPr>
        <w:t>）氨氮</w:t>
      </w:r>
      <w:bookmarkEnd w:id="86"/>
      <w:r>
        <w:rPr>
          <w:rFonts w:ascii="宋体" w:hAnsi="宋体" w:eastAsia="宋体"/>
          <w:sz w:val="24"/>
        </w:rPr>
        <w:t>自动分析仪技术参数</w:t>
      </w:r>
    </w:p>
    <w:tbl>
      <w:tblPr>
        <w:tblStyle w:val="25"/>
        <w:tblW w:w="7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blHeader/>
          <w:jc w:val="center"/>
        </w:trPr>
        <w:tc>
          <w:tcPr>
            <w:tcW w:w="2789" w:type="dxa"/>
            <w:vAlign w:val="center"/>
          </w:tcPr>
          <w:p>
            <w:pPr>
              <w:widowControl/>
              <w:jc w:val="center"/>
              <w:rPr>
                <w:rFonts w:ascii="宋体" w:hAnsi="宋体" w:eastAsia="宋体"/>
                <w:b/>
                <w:kern w:val="0"/>
                <w:szCs w:val="21"/>
              </w:rPr>
            </w:pPr>
            <w:r>
              <w:rPr>
                <w:rFonts w:ascii="宋体" w:hAnsi="宋体" w:eastAsia="宋体"/>
                <w:b/>
                <w:kern w:val="0"/>
                <w:szCs w:val="21"/>
              </w:rPr>
              <w:t>项目</w:t>
            </w:r>
          </w:p>
        </w:tc>
        <w:tc>
          <w:tcPr>
            <w:tcW w:w="4457" w:type="dxa"/>
            <w:vAlign w:val="center"/>
          </w:tcPr>
          <w:p>
            <w:pPr>
              <w:widowControl/>
              <w:jc w:val="center"/>
              <w:rPr>
                <w:rFonts w:ascii="宋体" w:hAnsi="宋体" w:eastAsia="宋体"/>
                <w:b/>
                <w:kern w:val="0"/>
                <w:szCs w:val="21"/>
              </w:rPr>
            </w:pPr>
            <w:r>
              <w:rPr>
                <w:rFonts w:ascii="宋体" w:hAnsi="宋体" w:eastAsia="宋体"/>
                <w:b/>
                <w:kern w:val="0"/>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789" w:type="dxa"/>
            <w:vAlign w:val="center"/>
          </w:tcPr>
          <w:p>
            <w:pPr>
              <w:widowControl/>
              <w:jc w:val="center"/>
              <w:rPr>
                <w:rFonts w:ascii="宋体" w:hAnsi="宋体" w:eastAsia="宋体"/>
                <w:kern w:val="0"/>
                <w:szCs w:val="21"/>
              </w:rPr>
            </w:pPr>
            <w:r>
              <w:rPr>
                <w:rFonts w:ascii="宋体" w:hAnsi="宋体" w:eastAsia="宋体"/>
                <w:kern w:val="0"/>
                <w:szCs w:val="21"/>
              </w:rPr>
              <w:t>检测方法</w:t>
            </w:r>
          </w:p>
        </w:tc>
        <w:tc>
          <w:tcPr>
            <w:tcW w:w="4457" w:type="dxa"/>
            <w:vAlign w:val="center"/>
          </w:tcPr>
          <w:p>
            <w:pPr>
              <w:widowControl/>
              <w:jc w:val="center"/>
              <w:rPr>
                <w:rFonts w:ascii="宋体" w:hAnsi="宋体" w:eastAsia="宋体"/>
                <w:kern w:val="0"/>
                <w:szCs w:val="21"/>
              </w:rPr>
            </w:pPr>
            <w:r>
              <w:rPr>
                <w:rFonts w:hint="eastAsia" w:ascii="宋体" w:hAnsi="宋体" w:eastAsia="宋体"/>
                <w:kern w:val="0"/>
                <w:szCs w:val="21"/>
              </w:rPr>
              <w:t>离子选择</w:t>
            </w:r>
            <w:r>
              <w:rPr>
                <w:rFonts w:ascii="宋体" w:hAnsi="宋体" w:eastAsia="宋体"/>
                <w:kern w:val="0"/>
                <w:szCs w:val="21"/>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2789" w:type="dxa"/>
            <w:vAlign w:val="center"/>
          </w:tcPr>
          <w:p>
            <w:pPr>
              <w:widowControl/>
              <w:jc w:val="center"/>
              <w:rPr>
                <w:rFonts w:ascii="宋体" w:hAnsi="宋体" w:eastAsia="宋体"/>
                <w:kern w:val="0"/>
                <w:szCs w:val="21"/>
              </w:rPr>
            </w:pPr>
            <w:r>
              <w:rPr>
                <w:rFonts w:ascii="宋体" w:hAnsi="宋体" w:eastAsia="宋体"/>
                <w:kern w:val="0"/>
                <w:szCs w:val="21"/>
              </w:rPr>
              <w:t>测量范围</w:t>
            </w:r>
          </w:p>
        </w:tc>
        <w:tc>
          <w:tcPr>
            <w:tcW w:w="4457" w:type="dxa"/>
            <w:vAlign w:val="center"/>
          </w:tcPr>
          <w:p>
            <w:pPr>
              <w:widowControl/>
              <w:jc w:val="center"/>
              <w:rPr>
                <w:rFonts w:ascii="宋体" w:hAnsi="宋体" w:eastAsia="宋体"/>
                <w:kern w:val="0"/>
                <w:szCs w:val="21"/>
              </w:rPr>
            </w:pPr>
            <w:r>
              <w:rPr>
                <w:rFonts w:ascii="宋体" w:hAnsi="宋体" w:eastAsia="宋体"/>
                <w:kern w:val="0"/>
                <w:szCs w:val="21"/>
              </w:rPr>
              <w:t>0-50mg/L</w:t>
            </w:r>
            <w:r>
              <w:rPr>
                <w:rFonts w:hint="eastAsia" w:ascii="宋体" w:hAnsi="宋体" w:eastAsia="宋体"/>
                <w:kern w:val="0"/>
                <w:szCs w:val="21"/>
              </w:rPr>
              <w:t>，可扩展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789" w:type="dxa"/>
            <w:vAlign w:val="center"/>
          </w:tcPr>
          <w:p>
            <w:pPr>
              <w:widowControl/>
              <w:jc w:val="center"/>
              <w:rPr>
                <w:rFonts w:ascii="宋体" w:hAnsi="宋体" w:eastAsia="宋体"/>
                <w:kern w:val="0"/>
                <w:szCs w:val="21"/>
              </w:rPr>
            </w:pPr>
            <w:r>
              <w:rPr>
                <w:rFonts w:ascii="宋体" w:hAnsi="宋体" w:eastAsia="宋体"/>
                <w:kern w:val="0"/>
                <w:szCs w:val="21"/>
              </w:rPr>
              <w:t>精密度</w:t>
            </w:r>
          </w:p>
        </w:tc>
        <w:tc>
          <w:tcPr>
            <w:tcW w:w="4457" w:type="dxa"/>
            <w:vAlign w:val="center"/>
          </w:tcPr>
          <w:p>
            <w:pPr>
              <w:widowControl/>
              <w:jc w:val="center"/>
              <w:rPr>
                <w:rFonts w:ascii="宋体" w:hAnsi="宋体" w:eastAsia="宋体"/>
                <w:kern w:val="0"/>
                <w:szCs w:val="21"/>
              </w:rPr>
            </w:pPr>
            <w:r>
              <w:rPr>
                <w:rFonts w:ascii="宋体" w:hAnsi="宋体" w:eastAsia="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789" w:type="dxa"/>
            <w:vAlign w:val="center"/>
          </w:tcPr>
          <w:p>
            <w:pPr>
              <w:widowControl/>
              <w:jc w:val="center"/>
              <w:rPr>
                <w:rFonts w:ascii="宋体" w:hAnsi="宋体" w:eastAsia="宋体"/>
                <w:kern w:val="0"/>
                <w:szCs w:val="21"/>
              </w:rPr>
            </w:pPr>
            <w:r>
              <w:rPr>
                <w:rFonts w:ascii="宋体" w:hAnsi="宋体" w:eastAsia="宋体"/>
                <w:kern w:val="0"/>
                <w:szCs w:val="21"/>
              </w:rPr>
              <w:t>准确度</w:t>
            </w:r>
          </w:p>
        </w:tc>
        <w:tc>
          <w:tcPr>
            <w:tcW w:w="4457" w:type="dxa"/>
            <w:vAlign w:val="center"/>
          </w:tcPr>
          <w:p>
            <w:pPr>
              <w:widowControl/>
              <w:jc w:val="center"/>
              <w:rPr>
                <w:rFonts w:ascii="宋体" w:hAnsi="宋体" w:eastAsia="宋体"/>
                <w:kern w:val="0"/>
                <w:szCs w:val="21"/>
              </w:rPr>
            </w:pPr>
            <w:r>
              <w:rPr>
                <w:rFonts w:ascii="宋体" w:hAnsi="宋体" w:eastAsia="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89" w:type="dxa"/>
            <w:vAlign w:val="center"/>
          </w:tcPr>
          <w:p>
            <w:pPr>
              <w:widowControl/>
              <w:jc w:val="center"/>
              <w:rPr>
                <w:rFonts w:ascii="宋体" w:hAnsi="宋体" w:eastAsia="宋体"/>
                <w:kern w:val="0"/>
                <w:szCs w:val="21"/>
              </w:rPr>
            </w:pPr>
            <w:r>
              <w:rPr>
                <w:rFonts w:ascii="宋体" w:hAnsi="宋体" w:eastAsia="宋体"/>
                <w:kern w:val="0"/>
                <w:szCs w:val="21"/>
              </w:rPr>
              <w:t>零点漂移</w:t>
            </w:r>
          </w:p>
        </w:tc>
        <w:tc>
          <w:tcPr>
            <w:tcW w:w="4457" w:type="dxa"/>
            <w:vAlign w:val="center"/>
          </w:tcPr>
          <w:p>
            <w:pPr>
              <w:widowControl/>
              <w:jc w:val="center"/>
              <w:rPr>
                <w:rFonts w:ascii="宋体" w:hAnsi="宋体" w:eastAsia="宋体"/>
                <w:kern w:val="0"/>
                <w:szCs w:val="21"/>
              </w:rPr>
            </w:pPr>
            <w:r>
              <w:rPr>
                <w:rFonts w:ascii="宋体" w:hAnsi="宋体" w:eastAsia="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789" w:type="dxa"/>
            <w:vAlign w:val="center"/>
          </w:tcPr>
          <w:p>
            <w:pPr>
              <w:widowControl/>
              <w:jc w:val="center"/>
              <w:rPr>
                <w:rFonts w:ascii="宋体" w:hAnsi="宋体" w:eastAsia="宋体"/>
                <w:kern w:val="0"/>
                <w:szCs w:val="21"/>
              </w:rPr>
            </w:pPr>
            <w:r>
              <w:rPr>
                <w:rFonts w:ascii="宋体" w:hAnsi="宋体" w:eastAsia="宋体"/>
                <w:kern w:val="0"/>
                <w:szCs w:val="21"/>
              </w:rPr>
              <w:t>量程漂移</w:t>
            </w:r>
          </w:p>
        </w:tc>
        <w:tc>
          <w:tcPr>
            <w:tcW w:w="4457" w:type="dxa"/>
            <w:vAlign w:val="center"/>
          </w:tcPr>
          <w:p>
            <w:pPr>
              <w:autoSpaceDE w:val="0"/>
              <w:autoSpaceDN w:val="0"/>
              <w:jc w:val="center"/>
              <w:rPr>
                <w:rFonts w:ascii="宋体" w:hAnsi="宋体" w:eastAsia="宋体"/>
                <w:kern w:val="0"/>
                <w:szCs w:val="21"/>
              </w:rPr>
            </w:pPr>
            <w:r>
              <w:rPr>
                <w:rFonts w:ascii="宋体" w:hAnsi="宋体" w:eastAsia="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2789" w:type="dxa"/>
            <w:vAlign w:val="center"/>
          </w:tcPr>
          <w:p>
            <w:pPr>
              <w:widowControl/>
              <w:jc w:val="center"/>
              <w:rPr>
                <w:rFonts w:ascii="宋体" w:hAnsi="宋体" w:eastAsia="宋体"/>
                <w:kern w:val="0"/>
                <w:szCs w:val="21"/>
              </w:rPr>
            </w:pPr>
            <w:r>
              <w:rPr>
                <w:rFonts w:hint="eastAsia" w:ascii="宋体" w:hAnsi="宋体" w:eastAsia="宋体"/>
                <w:kern w:val="0"/>
                <w:szCs w:val="21"/>
              </w:rPr>
              <w:t>一致性</w:t>
            </w:r>
          </w:p>
        </w:tc>
        <w:tc>
          <w:tcPr>
            <w:tcW w:w="4457" w:type="dxa"/>
            <w:vAlign w:val="center"/>
          </w:tcPr>
          <w:p>
            <w:pPr>
              <w:autoSpaceDE w:val="0"/>
              <w:autoSpaceDN w:val="0"/>
              <w:jc w:val="center"/>
              <w:rPr>
                <w:rFonts w:ascii="宋体" w:hAnsi="宋体" w:eastAsia="宋体"/>
                <w:kern w:val="0"/>
                <w:szCs w:val="21"/>
              </w:rPr>
            </w:pPr>
            <w:r>
              <w:rPr>
                <w:rFonts w:ascii="宋体" w:hAnsi="宋体" w:eastAsia="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789" w:type="dxa"/>
            <w:vAlign w:val="center"/>
          </w:tcPr>
          <w:p>
            <w:pPr>
              <w:widowControl/>
              <w:jc w:val="center"/>
              <w:rPr>
                <w:rFonts w:ascii="宋体" w:hAnsi="宋体" w:eastAsia="宋体"/>
                <w:kern w:val="0"/>
                <w:szCs w:val="21"/>
              </w:rPr>
            </w:pPr>
            <w:r>
              <w:rPr>
                <w:rFonts w:ascii="宋体" w:hAnsi="宋体" w:eastAsia="宋体"/>
                <w:kern w:val="0"/>
                <w:szCs w:val="21"/>
              </w:rPr>
              <w:t>实际水样比对试验</w:t>
            </w:r>
          </w:p>
        </w:tc>
        <w:tc>
          <w:tcPr>
            <w:tcW w:w="4457" w:type="dxa"/>
            <w:vAlign w:val="center"/>
          </w:tcPr>
          <w:p>
            <w:pPr>
              <w:jc w:val="center"/>
              <w:rPr>
                <w:rFonts w:ascii="宋体" w:hAnsi="宋体" w:eastAsia="宋体"/>
                <w:kern w:val="0"/>
                <w:szCs w:val="21"/>
              </w:rPr>
            </w:pPr>
            <w:r>
              <w:rPr>
                <w:rFonts w:hint="eastAsia" w:ascii="宋体" w:hAnsi="宋体" w:eastAsia="宋体"/>
                <w:kern w:val="0"/>
                <w:szCs w:val="21"/>
              </w:rPr>
              <w:t>（1）仪器测定浓度＞地表水Ⅳ类标准限值，相对误差≤±20%；（2）地表水Ⅱ类标准限值＜仪器测定浓度≤地表水Ⅳ类标准限值，相对误差≤±30%；（3）当自动监测结果和实验室分析结果均低于Ⅱ类标准限值时，认定比对实验结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2789" w:type="dxa"/>
            <w:vAlign w:val="center"/>
          </w:tcPr>
          <w:p>
            <w:pPr>
              <w:widowControl/>
              <w:jc w:val="center"/>
              <w:rPr>
                <w:rFonts w:ascii="宋体" w:hAnsi="宋体" w:eastAsia="宋体"/>
                <w:kern w:val="0"/>
                <w:szCs w:val="21"/>
              </w:rPr>
            </w:pPr>
            <w:r>
              <w:rPr>
                <w:rFonts w:ascii="宋体" w:hAnsi="宋体" w:eastAsia="宋体"/>
                <w:kern w:val="0"/>
                <w:szCs w:val="21"/>
              </w:rPr>
              <w:t>最小维护周期</w:t>
            </w:r>
          </w:p>
        </w:tc>
        <w:tc>
          <w:tcPr>
            <w:tcW w:w="4457" w:type="dxa"/>
            <w:vAlign w:val="center"/>
          </w:tcPr>
          <w:p>
            <w:pPr>
              <w:widowControl/>
              <w:jc w:val="center"/>
              <w:rPr>
                <w:rFonts w:ascii="宋体" w:hAnsi="宋体" w:eastAsia="宋体"/>
                <w:kern w:val="0"/>
                <w:szCs w:val="21"/>
              </w:rPr>
            </w:pPr>
            <w:r>
              <w:rPr>
                <w:rFonts w:ascii="宋体" w:hAnsi="宋体" w:eastAsia="宋体"/>
                <w:kern w:val="0"/>
                <w:szCs w:val="21"/>
              </w:rPr>
              <w:t>≥168h</w:t>
            </w:r>
          </w:p>
        </w:tc>
      </w:tr>
    </w:tbl>
    <w:p>
      <w:pPr>
        <w:tabs>
          <w:tab w:val="left" w:pos="720"/>
        </w:tabs>
        <w:spacing w:line="360" w:lineRule="auto"/>
        <w:rPr>
          <w:rFonts w:ascii="宋体" w:hAnsi="宋体" w:eastAsia="宋体"/>
          <w:bCs/>
          <w:sz w:val="24"/>
        </w:rPr>
      </w:pPr>
    </w:p>
    <w:p>
      <w:pPr>
        <w:spacing w:line="360" w:lineRule="auto"/>
        <w:rPr>
          <w:rFonts w:ascii="宋体" w:hAnsi="宋体" w:eastAsia="宋体"/>
          <w:kern w:val="0"/>
          <w:sz w:val="24"/>
        </w:rPr>
      </w:pPr>
      <w:r>
        <w:rPr>
          <w:rFonts w:hint="eastAsia" w:ascii="宋体" w:hAnsi="宋体" w:eastAsia="宋体"/>
          <w:kern w:val="0"/>
          <w:sz w:val="24"/>
        </w:rPr>
        <w:t>（3）</w:t>
      </w:r>
      <w:r>
        <w:rPr>
          <w:rFonts w:ascii="宋体" w:hAnsi="宋体" w:eastAsia="宋体"/>
          <w:kern w:val="0"/>
          <w:sz w:val="24"/>
        </w:rPr>
        <w:t>水温</w:t>
      </w:r>
      <w:r>
        <w:rPr>
          <w:rFonts w:hint="eastAsia" w:ascii="宋体" w:hAnsi="宋体" w:eastAsia="宋体"/>
          <w:kern w:val="0"/>
          <w:sz w:val="24"/>
        </w:rPr>
        <w:t>水质自动分析仪</w:t>
      </w:r>
      <w:r>
        <w:rPr>
          <w:rFonts w:ascii="宋体" w:hAnsi="宋体" w:eastAsia="宋体"/>
          <w:kern w:val="0"/>
          <w:sz w:val="24"/>
        </w:rPr>
        <w:t>技术指标要求</w:t>
      </w:r>
    </w:p>
    <w:tbl>
      <w:tblPr>
        <w:tblStyle w:val="25"/>
        <w:tblW w:w="6632" w:type="dxa"/>
        <w:jc w:val="center"/>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1" w:type="dxa"/>
            <w:tcBorders>
              <w:tl2br w:val="nil"/>
              <w:tr2bl w:val="nil"/>
            </w:tcBorders>
            <w:vAlign w:val="center"/>
          </w:tcPr>
          <w:p>
            <w:pPr>
              <w:jc w:val="center"/>
              <w:rPr>
                <w:rFonts w:ascii="宋体" w:hAnsi="宋体" w:eastAsia="宋体"/>
                <w:b/>
                <w:szCs w:val="21"/>
              </w:rPr>
            </w:pPr>
            <w:r>
              <w:rPr>
                <w:rFonts w:ascii="宋体" w:hAnsi="宋体" w:eastAsia="宋体"/>
                <w:b/>
                <w:szCs w:val="21"/>
              </w:rPr>
              <w:t>项目</w:t>
            </w:r>
          </w:p>
        </w:tc>
        <w:tc>
          <w:tcPr>
            <w:tcW w:w="3641" w:type="dxa"/>
            <w:tcBorders>
              <w:tl2br w:val="nil"/>
              <w:tr2bl w:val="nil"/>
            </w:tcBorders>
            <w:vAlign w:val="center"/>
          </w:tcPr>
          <w:p>
            <w:pPr>
              <w:jc w:val="center"/>
              <w:rPr>
                <w:rFonts w:ascii="宋体" w:hAnsi="宋体" w:eastAsia="宋体"/>
                <w:b/>
                <w:szCs w:val="21"/>
              </w:rPr>
            </w:pPr>
            <w:r>
              <w:rPr>
                <w:rFonts w:ascii="宋体" w:hAnsi="宋体" w:eastAsia="宋体"/>
                <w:b/>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1"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测定原理</w:t>
            </w:r>
          </w:p>
        </w:tc>
        <w:tc>
          <w:tcPr>
            <w:tcW w:w="3641"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热电阻或热电偶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1"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量程</w:t>
            </w:r>
          </w:p>
        </w:tc>
        <w:tc>
          <w:tcPr>
            <w:tcW w:w="3641" w:type="dxa"/>
            <w:tcBorders>
              <w:tl2br w:val="nil"/>
              <w:tr2bl w:val="nil"/>
            </w:tcBorders>
            <w:vAlign w:val="center"/>
          </w:tcPr>
          <w:p>
            <w:pPr>
              <w:jc w:val="center"/>
              <w:rPr>
                <w:rFonts w:ascii="宋体" w:hAnsi="宋体" w:eastAsia="宋体"/>
                <w:szCs w:val="21"/>
              </w:rPr>
            </w:pPr>
            <w:r>
              <w:rPr>
                <w:rFonts w:ascii="宋体" w:hAnsi="宋体" w:eastAsia="宋体"/>
                <w:szCs w:val="21"/>
              </w:rPr>
              <w:t>0</w:t>
            </w:r>
            <w:r>
              <w:rPr>
                <w:rFonts w:hint="eastAsia" w:ascii="宋体" w:hAnsi="宋体" w:eastAsia="宋体"/>
                <w:szCs w:val="21"/>
              </w:rPr>
              <w:t>℃</w:t>
            </w:r>
            <w:r>
              <w:rPr>
                <w:rFonts w:ascii="宋体" w:hAnsi="宋体" w:eastAsia="宋体"/>
                <w:szCs w:val="21"/>
              </w:rPr>
              <w:t>～60</w:t>
            </w:r>
            <w:r>
              <w:rPr>
                <w:rFonts w:hint="eastAsia" w:ascii="宋体" w:hAnsi="宋体" w:eastAsia="宋体"/>
                <w:szCs w:val="21"/>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1" w:type="dxa"/>
            <w:tcBorders>
              <w:tl2br w:val="nil"/>
              <w:tr2bl w:val="nil"/>
            </w:tcBorders>
            <w:vAlign w:val="center"/>
          </w:tcPr>
          <w:p>
            <w:pPr>
              <w:jc w:val="center"/>
              <w:rPr>
                <w:rFonts w:ascii="宋体" w:hAnsi="宋体" w:eastAsia="宋体"/>
                <w:szCs w:val="21"/>
              </w:rPr>
            </w:pPr>
            <w:r>
              <w:rPr>
                <w:rFonts w:ascii="宋体" w:hAnsi="宋体" w:eastAsia="宋体"/>
                <w:szCs w:val="21"/>
              </w:rPr>
              <w:t>准确度</w:t>
            </w:r>
          </w:p>
        </w:tc>
        <w:tc>
          <w:tcPr>
            <w:tcW w:w="3641" w:type="dxa"/>
            <w:tcBorders>
              <w:tl2br w:val="nil"/>
              <w:tr2bl w:val="nil"/>
            </w:tcBorders>
            <w:vAlign w:val="center"/>
          </w:tcPr>
          <w:p>
            <w:pPr>
              <w:jc w:val="center"/>
              <w:rPr>
                <w:rFonts w:ascii="宋体" w:hAnsi="宋体" w:eastAsia="宋体"/>
                <w:szCs w:val="21"/>
              </w:rPr>
            </w:pPr>
            <w:r>
              <w:rPr>
                <w:rFonts w:ascii="宋体" w:hAnsi="宋体" w:eastAsia="宋体"/>
                <w:szCs w:val="21"/>
              </w:rPr>
              <w:t xml:space="preserve">±0.5 </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991" w:type="dxa"/>
            <w:tcBorders>
              <w:tl2br w:val="nil"/>
              <w:tr2bl w:val="nil"/>
            </w:tcBorders>
            <w:vAlign w:val="center"/>
          </w:tcPr>
          <w:p>
            <w:pPr>
              <w:jc w:val="center"/>
              <w:rPr>
                <w:rFonts w:ascii="宋体" w:hAnsi="宋体" w:eastAsia="宋体"/>
                <w:szCs w:val="21"/>
              </w:rPr>
            </w:pPr>
            <w:r>
              <w:rPr>
                <w:rFonts w:ascii="宋体" w:hAnsi="宋体" w:eastAsia="宋体"/>
                <w:szCs w:val="21"/>
              </w:rPr>
              <w:t>MTBF</w:t>
            </w:r>
          </w:p>
        </w:tc>
        <w:tc>
          <w:tcPr>
            <w:tcW w:w="3641" w:type="dxa"/>
            <w:tcBorders>
              <w:tl2br w:val="nil"/>
              <w:tr2bl w:val="nil"/>
            </w:tcBorders>
            <w:vAlign w:val="center"/>
          </w:tcPr>
          <w:p>
            <w:pPr>
              <w:jc w:val="center"/>
              <w:rPr>
                <w:rFonts w:ascii="宋体" w:hAnsi="宋体" w:eastAsia="宋体"/>
                <w:szCs w:val="21"/>
              </w:rPr>
            </w:pPr>
            <w:r>
              <w:rPr>
                <w:rFonts w:ascii="宋体" w:hAnsi="宋体" w:eastAsia="宋体"/>
                <w:szCs w:val="21"/>
              </w:rPr>
              <w:t>≥720 h/</w:t>
            </w:r>
            <w:r>
              <w:rPr>
                <w:rFonts w:hint="eastAsia" w:ascii="宋体" w:hAnsi="宋体" w:eastAsia="宋体"/>
                <w:szCs w:val="21"/>
              </w:rPr>
              <w:t>次</w:t>
            </w:r>
          </w:p>
        </w:tc>
      </w:tr>
    </w:tbl>
    <w:p>
      <w:pPr>
        <w:spacing w:line="360" w:lineRule="auto"/>
        <w:rPr>
          <w:rFonts w:ascii="宋体" w:hAnsi="宋体" w:eastAsia="宋体"/>
          <w:kern w:val="0"/>
          <w:sz w:val="24"/>
        </w:rPr>
      </w:pPr>
    </w:p>
    <w:p>
      <w:pPr>
        <w:spacing w:line="360" w:lineRule="auto"/>
        <w:rPr>
          <w:rFonts w:ascii="宋体" w:hAnsi="宋体" w:eastAsia="宋体"/>
          <w:kern w:val="0"/>
          <w:sz w:val="24"/>
        </w:rPr>
      </w:pPr>
      <w:r>
        <w:rPr>
          <w:rFonts w:hint="eastAsia" w:ascii="宋体" w:hAnsi="宋体" w:eastAsia="宋体"/>
          <w:kern w:val="0"/>
          <w:sz w:val="24"/>
        </w:rPr>
        <w:t>（4）</w:t>
      </w:r>
      <w:r>
        <w:rPr>
          <w:rFonts w:ascii="宋体" w:hAnsi="宋体" w:eastAsia="宋体"/>
          <w:kern w:val="0"/>
          <w:sz w:val="24"/>
        </w:rPr>
        <w:t>pH</w:t>
      </w:r>
      <w:r>
        <w:rPr>
          <w:rFonts w:hint="eastAsia" w:ascii="宋体" w:hAnsi="宋体" w:eastAsia="宋体"/>
          <w:kern w:val="0"/>
          <w:sz w:val="24"/>
        </w:rPr>
        <w:t>水质自动分析仪</w:t>
      </w:r>
      <w:r>
        <w:rPr>
          <w:rFonts w:ascii="宋体" w:hAnsi="宋体" w:eastAsia="宋体"/>
          <w:kern w:val="0"/>
          <w:sz w:val="24"/>
        </w:rPr>
        <w:t>技术指标要求</w:t>
      </w:r>
    </w:p>
    <w:tbl>
      <w:tblPr>
        <w:tblStyle w:val="25"/>
        <w:tblW w:w="6555" w:type="dxa"/>
        <w:jc w:val="center"/>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3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blHeader/>
          <w:jc w:val="center"/>
        </w:trPr>
        <w:tc>
          <w:tcPr>
            <w:tcW w:w="2953" w:type="dxa"/>
            <w:tcBorders>
              <w:tl2br w:val="nil"/>
              <w:tr2bl w:val="nil"/>
            </w:tcBorders>
            <w:vAlign w:val="center"/>
          </w:tcPr>
          <w:p>
            <w:pPr>
              <w:jc w:val="center"/>
              <w:rPr>
                <w:rFonts w:ascii="宋体" w:hAnsi="宋体" w:eastAsia="宋体"/>
                <w:b/>
                <w:szCs w:val="21"/>
              </w:rPr>
            </w:pPr>
            <w:r>
              <w:rPr>
                <w:rFonts w:ascii="宋体" w:hAnsi="宋体" w:eastAsia="宋体"/>
                <w:b/>
                <w:szCs w:val="21"/>
              </w:rPr>
              <w:t>项目</w:t>
            </w:r>
          </w:p>
        </w:tc>
        <w:tc>
          <w:tcPr>
            <w:tcW w:w="3602" w:type="dxa"/>
            <w:tcBorders>
              <w:tl2br w:val="nil"/>
              <w:tr2bl w:val="nil"/>
            </w:tcBorders>
            <w:vAlign w:val="center"/>
          </w:tcPr>
          <w:p>
            <w:pPr>
              <w:jc w:val="center"/>
              <w:rPr>
                <w:rFonts w:ascii="宋体" w:hAnsi="宋体" w:eastAsia="宋体"/>
                <w:b/>
                <w:szCs w:val="21"/>
              </w:rPr>
            </w:pPr>
            <w:r>
              <w:rPr>
                <w:rFonts w:ascii="宋体" w:hAnsi="宋体" w:eastAsia="宋体"/>
                <w:b/>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5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测定原理</w:t>
            </w:r>
          </w:p>
        </w:tc>
        <w:tc>
          <w:tcPr>
            <w:tcW w:w="3602" w:type="dxa"/>
            <w:tcBorders>
              <w:tl2br w:val="nil"/>
              <w:tr2bl w:val="nil"/>
            </w:tcBorders>
            <w:vAlign w:val="center"/>
          </w:tcPr>
          <w:p>
            <w:pPr>
              <w:jc w:val="center"/>
              <w:rPr>
                <w:rFonts w:ascii="宋体" w:hAnsi="宋体" w:eastAsia="宋体"/>
                <w:szCs w:val="21"/>
              </w:rPr>
            </w:pPr>
            <w:r>
              <w:rPr>
                <w:rFonts w:ascii="宋体" w:hAnsi="宋体" w:eastAsia="宋体"/>
                <w:szCs w:val="21"/>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95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量程</w:t>
            </w:r>
          </w:p>
        </w:tc>
        <w:tc>
          <w:tcPr>
            <w:tcW w:w="3602" w:type="dxa"/>
            <w:tcBorders>
              <w:tl2br w:val="nil"/>
              <w:tr2bl w:val="nil"/>
            </w:tcBorders>
            <w:vAlign w:val="center"/>
          </w:tcPr>
          <w:p>
            <w:pPr>
              <w:jc w:val="center"/>
              <w:rPr>
                <w:rFonts w:ascii="宋体" w:hAnsi="宋体" w:eastAsia="宋体"/>
                <w:szCs w:val="21"/>
              </w:rPr>
            </w:pPr>
            <w:r>
              <w:rPr>
                <w:rFonts w:ascii="宋体" w:hAnsi="宋体" w:eastAsia="宋体"/>
                <w:szCs w:val="21"/>
              </w:rPr>
              <w:t xml:space="preserve">pH 0～14 （0～40 </w:t>
            </w:r>
            <w:r>
              <w:rPr>
                <w:rFonts w:hint="eastAsia" w:ascii="宋体" w:hAnsi="宋体" w:eastAsia="宋体"/>
                <w:szCs w:val="21"/>
              </w:rPr>
              <w:t>℃</w:t>
            </w:r>
            <w:r>
              <w:rPr>
                <w:rFonts w:ascii="宋体" w:hAnsi="宋体" w:eastAsia="宋体"/>
                <w:szCs w:val="21"/>
              </w:rPr>
              <w:t>）</w:t>
            </w:r>
            <w:r>
              <w:rPr>
                <w:rFonts w:hint="eastAsia" w:ascii="宋体" w:hAnsi="宋体" w:eastAsia="宋体"/>
                <w:szCs w:val="21"/>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953" w:type="dxa"/>
            <w:tcBorders>
              <w:tl2br w:val="nil"/>
              <w:tr2bl w:val="nil"/>
            </w:tcBorders>
            <w:vAlign w:val="center"/>
          </w:tcPr>
          <w:p>
            <w:pPr>
              <w:jc w:val="center"/>
              <w:rPr>
                <w:rFonts w:ascii="宋体" w:hAnsi="宋体" w:eastAsia="宋体"/>
                <w:szCs w:val="21"/>
              </w:rPr>
            </w:pPr>
            <w:r>
              <w:rPr>
                <w:rFonts w:ascii="宋体" w:hAnsi="宋体" w:eastAsia="宋体"/>
                <w:szCs w:val="21"/>
              </w:rPr>
              <w:t>漂移（pH=4、7、9）</w:t>
            </w:r>
          </w:p>
        </w:tc>
        <w:tc>
          <w:tcPr>
            <w:tcW w:w="3602" w:type="dxa"/>
            <w:tcBorders>
              <w:tl2br w:val="nil"/>
              <w:tr2bl w:val="nil"/>
            </w:tcBorders>
            <w:vAlign w:val="center"/>
          </w:tcPr>
          <w:p>
            <w:pPr>
              <w:jc w:val="center"/>
              <w:rPr>
                <w:rFonts w:ascii="宋体" w:hAnsi="宋体" w:eastAsia="宋体"/>
                <w:szCs w:val="21"/>
              </w:rPr>
            </w:pPr>
            <w:r>
              <w:rPr>
                <w:rFonts w:ascii="宋体" w:hAnsi="宋体" w:eastAsia="宋体"/>
                <w:szCs w:val="21"/>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953" w:type="dxa"/>
            <w:tcBorders>
              <w:tl2br w:val="nil"/>
              <w:tr2bl w:val="nil"/>
            </w:tcBorders>
            <w:vAlign w:val="center"/>
          </w:tcPr>
          <w:p>
            <w:pPr>
              <w:jc w:val="center"/>
              <w:rPr>
                <w:rFonts w:ascii="宋体" w:hAnsi="宋体" w:eastAsia="宋体"/>
                <w:szCs w:val="21"/>
              </w:rPr>
            </w:pPr>
            <w:r>
              <w:rPr>
                <w:rFonts w:ascii="宋体" w:hAnsi="宋体" w:eastAsia="宋体"/>
                <w:szCs w:val="21"/>
              </w:rPr>
              <w:t>重复性</w:t>
            </w:r>
          </w:p>
        </w:tc>
        <w:tc>
          <w:tcPr>
            <w:tcW w:w="3602" w:type="dxa"/>
            <w:tcBorders>
              <w:tl2br w:val="nil"/>
              <w:tr2bl w:val="nil"/>
            </w:tcBorders>
            <w:vAlign w:val="center"/>
          </w:tcPr>
          <w:p>
            <w:pPr>
              <w:jc w:val="center"/>
              <w:rPr>
                <w:rFonts w:ascii="宋体" w:hAnsi="宋体" w:eastAsia="宋体"/>
                <w:szCs w:val="21"/>
              </w:rPr>
            </w:pPr>
            <w:r>
              <w:rPr>
                <w:rFonts w:ascii="宋体" w:hAnsi="宋体" w:eastAsia="宋体"/>
                <w:szCs w:val="21"/>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953" w:type="dxa"/>
            <w:tcBorders>
              <w:tl2br w:val="nil"/>
              <w:tr2bl w:val="nil"/>
            </w:tcBorders>
            <w:vAlign w:val="center"/>
          </w:tcPr>
          <w:p>
            <w:pPr>
              <w:jc w:val="center"/>
              <w:rPr>
                <w:rFonts w:ascii="宋体" w:hAnsi="宋体" w:eastAsia="宋体"/>
                <w:szCs w:val="21"/>
              </w:rPr>
            </w:pPr>
            <w:r>
              <w:rPr>
                <w:rFonts w:ascii="宋体" w:hAnsi="宋体" w:eastAsia="宋体"/>
                <w:szCs w:val="21"/>
              </w:rPr>
              <w:t>响应时间</w:t>
            </w:r>
          </w:p>
        </w:tc>
        <w:tc>
          <w:tcPr>
            <w:tcW w:w="3602" w:type="dxa"/>
            <w:tcBorders>
              <w:tl2br w:val="nil"/>
              <w:tr2bl w:val="nil"/>
            </w:tcBorders>
            <w:vAlign w:val="center"/>
          </w:tcPr>
          <w:p>
            <w:pPr>
              <w:jc w:val="center"/>
              <w:rPr>
                <w:rFonts w:ascii="宋体" w:hAnsi="宋体" w:eastAsia="宋体"/>
                <w:szCs w:val="21"/>
              </w:rPr>
            </w:pPr>
            <w:r>
              <w:rPr>
                <w:rFonts w:ascii="宋体" w:hAnsi="宋体" w:eastAsia="宋体"/>
                <w:szCs w:val="21"/>
              </w:rPr>
              <w:t>≤30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953" w:type="dxa"/>
            <w:tcBorders>
              <w:tl2br w:val="nil"/>
              <w:tr2bl w:val="nil"/>
            </w:tcBorders>
            <w:vAlign w:val="center"/>
          </w:tcPr>
          <w:p>
            <w:pPr>
              <w:jc w:val="center"/>
              <w:rPr>
                <w:rFonts w:ascii="宋体" w:hAnsi="宋体" w:eastAsia="宋体"/>
                <w:szCs w:val="21"/>
              </w:rPr>
            </w:pPr>
            <w:r>
              <w:rPr>
                <w:rFonts w:ascii="宋体" w:hAnsi="宋体" w:eastAsia="宋体"/>
                <w:szCs w:val="21"/>
              </w:rPr>
              <w:t>温度补偿精度</w:t>
            </w:r>
          </w:p>
        </w:tc>
        <w:tc>
          <w:tcPr>
            <w:tcW w:w="3602" w:type="dxa"/>
            <w:tcBorders>
              <w:tl2br w:val="nil"/>
              <w:tr2bl w:val="nil"/>
            </w:tcBorders>
            <w:vAlign w:val="center"/>
          </w:tcPr>
          <w:p>
            <w:pPr>
              <w:jc w:val="center"/>
              <w:rPr>
                <w:rFonts w:ascii="宋体" w:hAnsi="宋体" w:eastAsia="宋体"/>
                <w:szCs w:val="21"/>
              </w:rPr>
            </w:pPr>
            <w:r>
              <w:rPr>
                <w:rFonts w:ascii="宋体" w:hAnsi="宋体" w:eastAsia="宋体"/>
                <w:szCs w:val="21"/>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53" w:type="dxa"/>
            <w:tcBorders>
              <w:tl2br w:val="nil"/>
              <w:tr2bl w:val="nil"/>
            </w:tcBorders>
            <w:vAlign w:val="center"/>
          </w:tcPr>
          <w:p>
            <w:pPr>
              <w:jc w:val="center"/>
              <w:rPr>
                <w:rFonts w:ascii="宋体" w:hAnsi="宋体" w:eastAsia="宋体"/>
                <w:szCs w:val="21"/>
              </w:rPr>
            </w:pPr>
            <w:r>
              <w:rPr>
                <w:rFonts w:ascii="宋体" w:hAnsi="宋体" w:eastAsia="宋体"/>
                <w:szCs w:val="21"/>
              </w:rPr>
              <w:t>MTBF</w:t>
            </w:r>
          </w:p>
        </w:tc>
        <w:tc>
          <w:tcPr>
            <w:tcW w:w="3602" w:type="dxa"/>
            <w:tcBorders>
              <w:tl2br w:val="nil"/>
              <w:tr2bl w:val="nil"/>
            </w:tcBorders>
            <w:vAlign w:val="center"/>
          </w:tcPr>
          <w:p>
            <w:pPr>
              <w:jc w:val="center"/>
              <w:rPr>
                <w:rFonts w:ascii="宋体" w:hAnsi="宋体" w:eastAsia="宋体"/>
                <w:szCs w:val="21"/>
              </w:rPr>
            </w:pPr>
            <w:r>
              <w:rPr>
                <w:rFonts w:ascii="宋体" w:hAnsi="宋体" w:eastAsia="宋体"/>
                <w:szCs w:val="21"/>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53" w:type="dxa"/>
            <w:tcBorders>
              <w:tl2br w:val="nil"/>
              <w:tr2bl w:val="nil"/>
            </w:tcBorders>
            <w:vAlign w:val="center"/>
          </w:tcPr>
          <w:p>
            <w:pPr>
              <w:jc w:val="center"/>
              <w:rPr>
                <w:rFonts w:ascii="宋体" w:hAnsi="宋体" w:eastAsia="宋体"/>
                <w:szCs w:val="21"/>
              </w:rPr>
            </w:pPr>
            <w:r>
              <w:rPr>
                <w:rFonts w:ascii="宋体" w:hAnsi="宋体" w:eastAsia="宋体"/>
                <w:szCs w:val="21"/>
              </w:rPr>
              <w:t>实际水样比对试验</w:t>
            </w:r>
          </w:p>
        </w:tc>
        <w:tc>
          <w:tcPr>
            <w:tcW w:w="3602" w:type="dxa"/>
            <w:tcBorders>
              <w:tl2br w:val="nil"/>
              <w:tr2bl w:val="nil"/>
            </w:tcBorders>
            <w:vAlign w:val="center"/>
          </w:tcPr>
          <w:p>
            <w:pPr>
              <w:jc w:val="center"/>
              <w:rPr>
                <w:rFonts w:ascii="宋体" w:hAnsi="宋体" w:eastAsia="宋体"/>
                <w:szCs w:val="21"/>
              </w:rPr>
            </w:pPr>
            <w:r>
              <w:rPr>
                <w:rFonts w:ascii="宋体" w:hAnsi="宋体" w:eastAsia="宋体"/>
                <w:szCs w:val="21"/>
              </w:rPr>
              <w:t>±0.</w:t>
            </w:r>
            <w:r>
              <w:rPr>
                <w:rFonts w:hint="eastAsia" w:ascii="宋体" w:hAnsi="宋体" w:eastAsia="宋体"/>
                <w:szCs w:val="21"/>
              </w:rPr>
              <w:t>5</w:t>
            </w:r>
            <w:r>
              <w:rPr>
                <w:rFonts w:ascii="宋体" w:hAnsi="宋体" w:eastAsia="宋体"/>
                <w:szCs w:val="21"/>
              </w:rPr>
              <w:t xml:space="preserve">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53" w:type="dxa"/>
            <w:tcBorders>
              <w:tl2br w:val="nil"/>
              <w:tr2bl w:val="nil"/>
            </w:tcBorders>
            <w:vAlign w:val="center"/>
          </w:tcPr>
          <w:p>
            <w:pPr>
              <w:jc w:val="center"/>
              <w:rPr>
                <w:rFonts w:ascii="宋体" w:hAnsi="宋体" w:eastAsia="宋体"/>
                <w:szCs w:val="21"/>
              </w:rPr>
            </w:pPr>
            <w:r>
              <w:rPr>
                <w:rFonts w:ascii="宋体" w:hAnsi="宋体" w:eastAsia="宋体"/>
                <w:szCs w:val="21"/>
              </w:rPr>
              <w:t>防护等级</w:t>
            </w:r>
          </w:p>
        </w:tc>
        <w:tc>
          <w:tcPr>
            <w:tcW w:w="3602" w:type="dxa"/>
            <w:tcBorders>
              <w:tl2br w:val="nil"/>
              <w:tr2bl w:val="nil"/>
            </w:tcBorders>
            <w:vAlign w:val="center"/>
          </w:tcPr>
          <w:p>
            <w:pPr>
              <w:jc w:val="center"/>
              <w:rPr>
                <w:rFonts w:ascii="宋体" w:hAnsi="宋体" w:eastAsia="宋体"/>
                <w:szCs w:val="21"/>
              </w:rPr>
            </w:pPr>
            <w:r>
              <w:rPr>
                <w:rFonts w:ascii="宋体" w:hAnsi="宋体" w:eastAsia="宋体"/>
                <w:szCs w:val="21"/>
              </w:rPr>
              <w:t>≥IP65</w:t>
            </w:r>
          </w:p>
        </w:tc>
      </w:tr>
    </w:tbl>
    <w:p>
      <w:pPr>
        <w:spacing w:line="360" w:lineRule="auto"/>
        <w:rPr>
          <w:rFonts w:ascii="宋体" w:hAnsi="宋体" w:eastAsia="宋体"/>
          <w:sz w:val="24"/>
        </w:rPr>
      </w:pPr>
      <w:r>
        <w:rPr>
          <w:rFonts w:ascii="宋体" w:hAnsi="宋体" w:eastAsia="宋体"/>
          <w:sz w:val="24"/>
        </w:rPr>
        <w:t>（</w:t>
      </w:r>
      <w:r>
        <w:rPr>
          <w:rFonts w:hint="eastAsia" w:ascii="宋体" w:hAnsi="宋体" w:eastAsia="宋体"/>
          <w:sz w:val="24"/>
        </w:rPr>
        <w:t>5</w:t>
      </w:r>
      <w:r>
        <w:rPr>
          <w:rFonts w:ascii="宋体" w:hAnsi="宋体" w:eastAsia="宋体"/>
          <w:sz w:val="24"/>
        </w:rPr>
        <w:t>）溶解氧自动分析仪技术指标要求</w:t>
      </w:r>
    </w:p>
    <w:tbl>
      <w:tblPr>
        <w:tblStyle w:val="25"/>
        <w:tblW w:w="6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1"/>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2751" w:type="dxa"/>
            <w:vAlign w:val="center"/>
          </w:tcPr>
          <w:p>
            <w:pPr>
              <w:jc w:val="center"/>
              <w:rPr>
                <w:rFonts w:ascii="宋体" w:hAnsi="宋体" w:eastAsia="宋体"/>
                <w:b/>
                <w:szCs w:val="21"/>
              </w:rPr>
            </w:pPr>
            <w:r>
              <w:rPr>
                <w:rFonts w:ascii="宋体" w:hAnsi="宋体" w:eastAsia="宋体"/>
                <w:b/>
                <w:szCs w:val="21"/>
              </w:rPr>
              <w:t>项目</w:t>
            </w:r>
          </w:p>
        </w:tc>
        <w:tc>
          <w:tcPr>
            <w:tcW w:w="3894" w:type="dxa"/>
            <w:vAlign w:val="center"/>
          </w:tcPr>
          <w:p>
            <w:pPr>
              <w:jc w:val="center"/>
              <w:rPr>
                <w:rFonts w:ascii="宋体" w:hAnsi="宋体" w:eastAsia="宋体"/>
                <w:b/>
                <w:szCs w:val="21"/>
              </w:rPr>
            </w:pPr>
            <w:r>
              <w:rPr>
                <w:rFonts w:ascii="宋体" w:hAnsi="宋体" w:eastAsia="宋体"/>
                <w:b/>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Cs w:val="21"/>
              </w:rPr>
            </w:pPr>
            <w:r>
              <w:rPr>
                <w:rFonts w:hint="eastAsia" w:ascii="宋体" w:hAnsi="宋体" w:eastAsia="宋体"/>
                <w:kern w:val="0"/>
                <w:szCs w:val="21"/>
              </w:rPr>
              <w:t>测定原理</w:t>
            </w:r>
          </w:p>
        </w:tc>
        <w:tc>
          <w:tcPr>
            <w:tcW w:w="3894" w:type="dxa"/>
            <w:vAlign w:val="center"/>
          </w:tcPr>
          <w:p>
            <w:pPr>
              <w:jc w:val="center"/>
              <w:rPr>
                <w:rFonts w:ascii="宋体" w:hAnsi="宋体" w:eastAsia="宋体"/>
                <w:szCs w:val="21"/>
              </w:rPr>
            </w:pPr>
            <w:r>
              <w:rPr>
                <w:rFonts w:ascii="宋体" w:hAnsi="宋体" w:eastAsia="宋体"/>
                <w:kern w:val="0"/>
                <w:szCs w:val="21"/>
              </w:rPr>
              <w:t>电化学法</w:t>
            </w:r>
            <w:r>
              <w:rPr>
                <w:rFonts w:hint="eastAsia" w:ascii="宋体" w:hAnsi="宋体" w:eastAsia="宋体"/>
                <w:kern w:val="0"/>
                <w:szCs w:val="21"/>
              </w:rPr>
              <w:t>/</w:t>
            </w:r>
            <w:r>
              <w:rPr>
                <w:rFonts w:ascii="宋体" w:hAnsi="宋体" w:eastAsia="宋体"/>
                <w:kern w:val="0"/>
                <w:szCs w:val="21"/>
              </w:rPr>
              <w:t>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Cs w:val="21"/>
              </w:rPr>
            </w:pPr>
            <w:r>
              <w:rPr>
                <w:rFonts w:ascii="宋体" w:hAnsi="宋体" w:eastAsia="宋体"/>
                <w:szCs w:val="21"/>
              </w:rPr>
              <w:t>测定范围</w:t>
            </w:r>
          </w:p>
        </w:tc>
        <w:tc>
          <w:tcPr>
            <w:tcW w:w="3894" w:type="dxa"/>
            <w:vAlign w:val="center"/>
          </w:tcPr>
          <w:p>
            <w:pPr>
              <w:jc w:val="center"/>
              <w:rPr>
                <w:rFonts w:ascii="宋体" w:hAnsi="宋体" w:eastAsia="宋体"/>
                <w:szCs w:val="21"/>
              </w:rPr>
            </w:pPr>
            <w:r>
              <w:rPr>
                <w:rFonts w:ascii="宋体" w:hAnsi="宋体" w:eastAsia="宋体"/>
                <w:szCs w:val="21"/>
              </w:rPr>
              <w:t>0～20.00mg/L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Cs w:val="21"/>
              </w:rPr>
            </w:pPr>
            <w:r>
              <w:rPr>
                <w:rFonts w:hint="eastAsia" w:ascii="宋体" w:hAnsi="宋体" w:eastAsia="宋体"/>
                <w:szCs w:val="21"/>
              </w:rPr>
              <w:t>准确度</w:t>
            </w:r>
          </w:p>
        </w:tc>
        <w:tc>
          <w:tcPr>
            <w:tcW w:w="3894" w:type="dxa"/>
            <w:vAlign w:val="center"/>
          </w:tcPr>
          <w:p>
            <w:pPr>
              <w:jc w:val="center"/>
              <w:rPr>
                <w:rFonts w:ascii="宋体" w:hAnsi="宋体" w:eastAsia="宋体"/>
                <w:szCs w:val="21"/>
              </w:rPr>
            </w:pPr>
            <w:r>
              <w:rPr>
                <w:rFonts w:ascii="宋体" w:hAnsi="宋体" w:eastAsia="宋体"/>
                <w:szCs w:val="21"/>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Cs w:val="21"/>
              </w:rPr>
            </w:pPr>
            <w:r>
              <w:rPr>
                <w:rFonts w:hint="eastAsia" w:ascii="宋体" w:hAnsi="宋体" w:eastAsia="宋体"/>
                <w:szCs w:val="21"/>
              </w:rPr>
              <w:t>零点漂移</w:t>
            </w:r>
          </w:p>
        </w:tc>
        <w:tc>
          <w:tcPr>
            <w:tcW w:w="3894" w:type="dxa"/>
            <w:vAlign w:val="center"/>
          </w:tcPr>
          <w:p>
            <w:pPr>
              <w:jc w:val="center"/>
              <w:rPr>
                <w:rFonts w:ascii="宋体" w:hAnsi="宋体" w:eastAsia="宋体"/>
                <w:szCs w:val="21"/>
              </w:rPr>
            </w:pPr>
            <w:r>
              <w:rPr>
                <w:rFonts w:ascii="宋体" w:hAnsi="宋体" w:eastAsia="宋体"/>
                <w:szCs w:val="21"/>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Cs w:val="21"/>
              </w:rPr>
            </w:pPr>
            <w:r>
              <w:rPr>
                <w:rFonts w:hint="eastAsia" w:ascii="宋体" w:hAnsi="宋体" w:eastAsia="宋体"/>
                <w:szCs w:val="21"/>
              </w:rPr>
              <w:t>量程漂移</w:t>
            </w:r>
          </w:p>
        </w:tc>
        <w:tc>
          <w:tcPr>
            <w:tcW w:w="3894" w:type="dxa"/>
            <w:vAlign w:val="center"/>
          </w:tcPr>
          <w:p>
            <w:pPr>
              <w:jc w:val="center"/>
              <w:rPr>
                <w:rFonts w:ascii="宋体" w:hAnsi="宋体" w:eastAsia="宋体"/>
                <w:szCs w:val="21"/>
              </w:rPr>
            </w:pPr>
            <w:r>
              <w:rPr>
                <w:rFonts w:ascii="宋体" w:hAnsi="宋体" w:eastAsia="宋体"/>
                <w:szCs w:val="21"/>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Cs w:val="21"/>
              </w:rPr>
            </w:pPr>
            <w:r>
              <w:rPr>
                <w:rFonts w:hint="eastAsia" w:ascii="宋体" w:hAnsi="宋体" w:eastAsia="宋体"/>
                <w:szCs w:val="21"/>
              </w:rPr>
              <w:t>实际水样比对</w:t>
            </w:r>
          </w:p>
        </w:tc>
        <w:tc>
          <w:tcPr>
            <w:tcW w:w="3894" w:type="dxa"/>
            <w:vAlign w:val="center"/>
          </w:tcPr>
          <w:p>
            <w:pPr>
              <w:jc w:val="center"/>
              <w:rPr>
                <w:rFonts w:ascii="宋体" w:hAnsi="宋体" w:eastAsia="宋体"/>
                <w:szCs w:val="21"/>
              </w:rPr>
            </w:pPr>
            <w:r>
              <w:rPr>
                <w:rFonts w:ascii="宋体" w:hAnsi="宋体" w:eastAsia="宋体"/>
                <w:szCs w:val="21"/>
              </w:rPr>
              <w:t>±0.</w:t>
            </w:r>
            <w:r>
              <w:rPr>
                <w:rFonts w:hint="eastAsia" w:ascii="宋体" w:hAnsi="宋体" w:eastAsia="宋体"/>
                <w:szCs w:val="21"/>
              </w:rPr>
              <w:t>5</w:t>
            </w:r>
            <w:r>
              <w:rPr>
                <w:rFonts w:ascii="宋体" w:hAnsi="宋体" w:eastAsia="宋体"/>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Cs w:val="21"/>
              </w:rPr>
            </w:pPr>
            <w:r>
              <w:rPr>
                <w:rFonts w:ascii="宋体" w:hAnsi="宋体" w:eastAsia="宋体"/>
                <w:szCs w:val="21"/>
              </w:rPr>
              <w:t>响应时间（T90）</w:t>
            </w:r>
          </w:p>
        </w:tc>
        <w:tc>
          <w:tcPr>
            <w:tcW w:w="3894" w:type="dxa"/>
            <w:vAlign w:val="center"/>
          </w:tcPr>
          <w:p>
            <w:pPr>
              <w:jc w:val="center"/>
              <w:rPr>
                <w:rFonts w:ascii="宋体" w:hAnsi="宋体" w:eastAsia="宋体"/>
                <w:szCs w:val="21"/>
              </w:rPr>
            </w:pPr>
            <w:r>
              <w:rPr>
                <w:rFonts w:ascii="宋体" w:hAnsi="宋体" w:eastAsia="宋体"/>
                <w:szCs w:val="21"/>
              </w:rPr>
              <w:t>≤120s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Cs w:val="21"/>
              </w:rPr>
            </w:pPr>
            <w:r>
              <w:rPr>
                <w:rFonts w:ascii="宋体" w:hAnsi="宋体" w:eastAsia="宋体"/>
                <w:szCs w:val="21"/>
              </w:rPr>
              <w:t>温度补偿精度</w:t>
            </w:r>
          </w:p>
        </w:tc>
        <w:tc>
          <w:tcPr>
            <w:tcW w:w="3894" w:type="dxa"/>
            <w:vAlign w:val="center"/>
          </w:tcPr>
          <w:p>
            <w:pPr>
              <w:jc w:val="center"/>
              <w:rPr>
                <w:rFonts w:ascii="宋体" w:hAnsi="宋体" w:eastAsia="宋体"/>
                <w:szCs w:val="21"/>
              </w:rPr>
            </w:pPr>
            <w:r>
              <w:rPr>
                <w:rFonts w:ascii="宋体" w:hAnsi="宋体" w:eastAsia="宋体"/>
                <w:szCs w:val="21"/>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Cs w:val="21"/>
              </w:rPr>
            </w:pPr>
            <w:r>
              <w:rPr>
                <w:rFonts w:ascii="宋体" w:hAnsi="宋体" w:eastAsia="宋体"/>
                <w:szCs w:val="21"/>
              </w:rPr>
              <w:t>防护等级</w:t>
            </w:r>
          </w:p>
        </w:tc>
        <w:tc>
          <w:tcPr>
            <w:tcW w:w="3894" w:type="dxa"/>
            <w:vAlign w:val="center"/>
          </w:tcPr>
          <w:p>
            <w:pPr>
              <w:jc w:val="center"/>
              <w:rPr>
                <w:rFonts w:ascii="宋体" w:hAnsi="宋体" w:eastAsia="宋体"/>
                <w:b/>
                <w:szCs w:val="21"/>
              </w:rPr>
            </w:pPr>
            <w:r>
              <w:rPr>
                <w:rFonts w:ascii="宋体" w:hAnsi="宋体" w:eastAsia="宋体"/>
                <w:kern w:val="0"/>
                <w:szCs w:val="21"/>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51" w:type="dxa"/>
            <w:vAlign w:val="center"/>
          </w:tcPr>
          <w:p>
            <w:pPr>
              <w:jc w:val="center"/>
              <w:rPr>
                <w:rFonts w:ascii="宋体" w:hAnsi="宋体" w:eastAsia="宋体"/>
                <w:szCs w:val="21"/>
              </w:rPr>
            </w:pPr>
            <w:r>
              <w:rPr>
                <w:rFonts w:ascii="宋体" w:hAnsi="宋体" w:eastAsia="宋体"/>
                <w:szCs w:val="21"/>
              </w:rPr>
              <w:t>MTBF</w:t>
            </w:r>
          </w:p>
        </w:tc>
        <w:tc>
          <w:tcPr>
            <w:tcW w:w="3894" w:type="dxa"/>
            <w:vAlign w:val="center"/>
          </w:tcPr>
          <w:p>
            <w:pPr>
              <w:jc w:val="center"/>
              <w:rPr>
                <w:rFonts w:ascii="宋体" w:hAnsi="宋体" w:eastAsia="宋体"/>
                <w:szCs w:val="21"/>
              </w:rPr>
            </w:pPr>
            <w:r>
              <w:rPr>
                <w:rFonts w:ascii="宋体" w:hAnsi="宋体" w:eastAsia="宋体"/>
                <w:szCs w:val="21"/>
              </w:rPr>
              <w:t>≥720h/次</w:t>
            </w:r>
          </w:p>
        </w:tc>
      </w:tr>
    </w:tbl>
    <w:p>
      <w:pPr>
        <w:spacing w:line="360" w:lineRule="auto"/>
        <w:rPr>
          <w:rFonts w:ascii="宋体" w:hAnsi="宋体" w:eastAsia="宋体"/>
          <w:sz w:val="24"/>
        </w:rPr>
      </w:pPr>
    </w:p>
    <w:p>
      <w:pPr>
        <w:spacing w:line="360" w:lineRule="auto"/>
        <w:rPr>
          <w:rFonts w:ascii="宋体" w:hAnsi="宋体" w:eastAsia="宋体"/>
          <w:sz w:val="24"/>
        </w:rPr>
      </w:pPr>
      <w:r>
        <w:rPr>
          <w:rFonts w:ascii="宋体" w:hAnsi="宋体" w:eastAsia="宋体"/>
          <w:sz w:val="24"/>
        </w:rPr>
        <w:t>（</w:t>
      </w:r>
      <w:r>
        <w:rPr>
          <w:rFonts w:hint="eastAsia" w:ascii="宋体" w:hAnsi="宋体" w:eastAsia="宋体"/>
          <w:sz w:val="24"/>
        </w:rPr>
        <w:t>6</w:t>
      </w:r>
      <w:r>
        <w:rPr>
          <w:rFonts w:ascii="宋体" w:hAnsi="宋体" w:eastAsia="宋体"/>
          <w:sz w:val="24"/>
        </w:rPr>
        <w:t>）电导率自动分析仪技术指标要求</w:t>
      </w:r>
    </w:p>
    <w:tbl>
      <w:tblPr>
        <w:tblStyle w:val="25"/>
        <w:tblW w:w="6782" w:type="dxa"/>
        <w:jc w:val="center"/>
        <w:tblInd w:w="8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4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b/>
                <w:szCs w:val="21"/>
              </w:rPr>
            </w:pPr>
            <w:r>
              <w:rPr>
                <w:rFonts w:ascii="宋体" w:hAnsi="宋体" w:eastAsia="宋体"/>
                <w:b/>
                <w:szCs w:val="21"/>
              </w:rPr>
              <w:t>项目</w:t>
            </w:r>
          </w:p>
        </w:tc>
        <w:tc>
          <w:tcPr>
            <w:tcW w:w="4934" w:type="dxa"/>
            <w:vAlign w:val="center"/>
          </w:tcPr>
          <w:p>
            <w:pPr>
              <w:jc w:val="center"/>
              <w:rPr>
                <w:rFonts w:ascii="宋体" w:hAnsi="宋体" w:eastAsia="宋体"/>
                <w:b/>
                <w:szCs w:val="21"/>
              </w:rPr>
            </w:pPr>
            <w:r>
              <w:rPr>
                <w:rFonts w:ascii="宋体" w:hAnsi="宋体" w:eastAsia="宋体"/>
                <w:b/>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b/>
                <w:szCs w:val="21"/>
              </w:rPr>
            </w:pPr>
            <w:r>
              <w:rPr>
                <w:rFonts w:hint="eastAsia" w:ascii="宋体" w:hAnsi="宋体" w:eastAsia="宋体"/>
                <w:kern w:val="0"/>
                <w:szCs w:val="21"/>
              </w:rPr>
              <w:t>测定原理</w:t>
            </w:r>
          </w:p>
        </w:tc>
        <w:tc>
          <w:tcPr>
            <w:tcW w:w="4934" w:type="dxa"/>
            <w:vAlign w:val="center"/>
          </w:tcPr>
          <w:p>
            <w:pPr>
              <w:jc w:val="center"/>
              <w:rPr>
                <w:rFonts w:ascii="宋体" w:hAnsi="宋体" w:eastAsia="宋体"/>
                <w:b/>
                <w:szCs w:val="21"/>
              </w:rPr>
            </w:pPr>
            <w:r>
              <w:rPr>
                <w:rFonts w:ascii="宋体" w:hAnsi="宋体" w:eastAsia="宋体"/>
                <w:kern w:val="0"/>
                <w:szCs w:val="21"/>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Cs w:val="21"/>
              </w:rPr>
            </w:pPr>
            <w:r>
              <w:rPr>
                <w:rFonts w:ascii="宋体" w:hAnsi="宋体" w:eastAsia="宋体"/>
                <w:szCs w:val="21"/>
              </w:rPr>
              <w:t>测定范围</w:t>
            </w:r>
          </w:p>
        </w:tc>
        <w:tc>
          <w:tcPr>
            <w:tcW w:w="4934" w:type="dxa"/>
            <w:vAlign w:val="center"/>
          </w:tcPr>
          <w:p>
            <w:pPr>
              <w:jc w:val="center"/>
              <w:rPr>
                <w:rFonts w:ascii="宋体" w:hAnsi="宋体" w:eastAsia="宋体"/>
                <w:szCs w:val="21"/>
              </w:rPr>
            </w:pPr>
            <w:r>
              <w:rPr>
                <w:rFonts w:ascii="宋体" w:hAnsi="宋体" w:eastAsia="宋体"/>
                <w:szCs w:val="21"/>
              </w:rPr>
              <w:t>0-500mS/m（0-40℃），量程可自动切换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Cs w:val="21"/>
              </w:rPr>
            </w:pPr>
            <w:r>
              <w:rPr>
                <w:rFonts w:hint="eastAsia" w:ascii="宋体" w:hAnsi="宋体" w:eastAsia="宋体"/>
                <w:szCs w:val="21"/>
              </w:rPr>
              <w:t>精密度</w:t>
            </w:r>
          </w:p>
        </w:tc>
        <w:tc>
          <w:tcPr>
            <w:tcW w:w="4934" w:type="dxa"/>
            <w:vAlign w:val="center"/>
          </w:tcPr>
          <w:p>
            <w:pPr>
              <w:jc w:val="center"/>
              <w:rPr>
                <w:rFonts w:ascii="宋体" w:hAnsi="宋体" w:eastAsia="宋体"/>
                <w:szCs w:val="21"/>
              </w:rPr>
            </w:pPr>
            <w:r>
              <w:rPr>
                <w:rFonts w:ascii="宋体" w:hAnsi="宋体" w:eastAsia="宋体"/>
                <w:szCs w:val="21"/>
              </w:rPr>
              <w:t>±</w:t>
            </w:r>
            <w:r>
              <w:rPr>
                <w:rFonts w:hint="eastAsia" w:ascii="宋体" w:hAnsi="宋体" w:eastAsia="宋体"/>
                <w:szCs w:val="21"/>
              </w:rPr>
              <w:t>5</w:t>
            </w: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Cs w:val="21"/>
              </w:rPr>
            </w:pPr>
            <w:r>
              <w:rPr>
                <w:rFonts w:ascii="宋体" w:hAnsi="宋体" w:eastAsia="宋体"/>
                <w:szCs w:val="21"/>
              </w:rPr>
              <w:t>准确度</w:t>
            </w:r>
          </w:p>
        </w:tc>
        <w:tc>
          <w:tcPr>
            <w:tcW w:w="4934" w:type="dxa"/>
            <w:vAlign w:val="center"/>
          </w:tcPr>
          <w:p>
            <w:pPr>
              <w:jc w:val="center"/>
              <w:rPr>
                <w:rFonts w:ascii="宋体" w:hAnsi="宋体" w:eastAsia="宋体"/>
                <w:szCs w:val="21"/>
              </w:rPr>
            </w:pPr>
            <w:r>
              <w:rPr>
                <w:rFonts w:ascii="宋体" w:hAnsi="宋体" w:eastAsia="宋体"/>
                <w:bCs/>
                <w:szCs w:val="21"/>
              </w:rPr>
              <w:t>±</w:t>
            </w:r>
            <w:r>
              <w:rPr>
                <w:rFonts w:hint="eastAsia" w:ascii="宋体" w:hAnsi="宋体" w:eastAsia="宋体"/>
                <w:bCs/>
                <w:szCs w:val="21"/>
              </w:rPr>
              <w:t>5</w:t>
            </w:r>
            <w:r>
              <w:rPr>
                <w:rFonts w:ascii="宋体" w:hAnsi="宋体" w:eastAsia="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Cs w:val="21"/>
              </w:rPr>
            </w:pPr>
            <w:r>
              <w:rPr>
                <w:rFonts w:hint="eastAsia" w:ascii="宋体" w:hAnsi="宋体" w:eastAsia="宋体"/>
                <w:szCs w:val="21"/>
              </w:rPr>
              <w:t>零点漂移</w:t>
            </w:r>
          </w:p>
        </w:tc>
        <w:tc>
          <w:tcPr>
            <w:tcW w:w="4934" w:type="dxa"/>
            <w:vAlign w:val="center"/>
          </w:tcPr>
          <w:p>
            <w:pPr>
              <w:jc w:val="center"/>
              <w:rPr>
                <w:rFonts w:ascii="宋体" w:hAnsi="宋体" w:eastAsia="宋体"/>
                <w:szCs w:val="21"/>
              </w:rPr>
            </w:pPr>
            <w:r>
              <w:rPr>
                <w:rFonts w:ascii="宋体" w:hAnsi="宋体" w:eastAsia="宋体"/>
                <w:szCs w:val="21"/>
              </w:rPr>
              <w:t>±</w:t>
            </w:r>
            <w:r>
              <w:rPr>
                <w:rFonts w:hint="eastAsia" w:ascii="宋体" w:hAnsi="宋体" w:eastAsia="宋体"/>
                <w:szCs w:val="21"/>
              </w:rPr>
              <w:t>5</w:t>
            </w: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Cs w:val="21"/>
              </w:rPr>
            </w:pPr>
            <w:r>
              <w:rPr>
                <w:rFonts w:hint="eastAsia" w:ascii="宋体" w:hAnsi="宋体" w:eastAsia="宋体"/>
                <w:szCs w:val="21"/>
              </w:rPr>
              <w:t>量程漂移</w:t>
            </w:r>
          </w:p>
        </w:tc>
        <w:tc>
          <w:tcPr>
            <w:tcW w:w="4934" w:type="dxa"/>
            <w:vAlign w:val="center"/>
          </w:tcPr>
          <w:p>
            <w:pPr>
              <w:jc w:val="center"/>
              <w:rPr>
                <w:rFonts w:ascii="宋体" w:hAnsi="宋体" w:eastAsia="宋体"/>
                <w:szCs w:val="21"/>
              </w:rPr>
            </w:pPr>
            <w:r>
              <w:rPr>
                <w:rFonts w:ascii="宋体" w:hAnsi="宋体" w:eastAsia="宋体"/>
                <w:bCs/>
                <w:szCs w:val="21"/>
              </w:rPr>
              <w:t>±</w:t>
            </w:r>
            <w:r>
              <w:rPr>
                <w:rFonts w:hint="eastAsia" w:ascii="宋体" w:hAnsi="宋体" w:eastAsia="宋体"/>
                <w:bCs/>
                <w:szCs w:val="21"/>
              </w:rPr>
              <w:t>5</w:t>
            </w:r>
            <w:r>
              <w:rPr>
                <w:rFonts w:ascii="宋体" w:hAnsi="宋体" w:eastAsia="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Cs w:val="21"/>
              </w:rPr>
            </w:pPr>
            <w:r>
              <w:rPr>
                <w:rFonts w:hint="eastAsia" w:ascii="宋体" w:hAnsi="宋体" w:eastAsia="宋体"/>
                <w:szCs w:val="21"/>
              </w:rPr>
              <w:t>实际水样比对</w:t>
            </w:r>
          </w:p>
        </w:tc>
        <w:tc>
          <w:tcPr>
            <w:tcW w:w="4934" w:type="dxa"/>
            <w:vAlign w:val="center"/>
          </w:tcPr>
          <w:p>
            <w:pPr>
              <w:jc w:val="center"/>
              <w:rPr>
                <w:rFonts w:ascii="宋体" w:hAnsi="宋体" w:eastAsia="宋体"/>
                <w:bCs/>
                <w:szCs w:val="21"/>
              </w:rPr>
            </w:pPr>
            <w:r>
              <w:rPr>
                <w:rFonts w:ascii="宋体" w:hAnsi="宋体" w:eastAsia="宋体"/>
                <w:bCs/>
                <w:szCs w:val="21"/>
              </w:rPr>
              <w:t>±</w:t>
            </w:r>
            <w:r>
              <w:rPr>
                <w:rFonts w:hint="eastAsia" w:ascii="宋体" w:hAnsi="宋体" w:eastAsia="宋体"/>
                <w:bCs/>
                <w:szCs w:val="21"/>
              </w:rPr>
              <w:t>10</w:t>
            </w:r>
            <w:r>
              <w:rPr>
                <w:rFonts w:ascii="宋体" w:hAnsi="宋体" w:eastAsia="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Cs w:val="21"/>
              </w:rPr>
            </w:pPr>
            <w:r>
              <w:rPr>
                <w:rFonts w:ascii="宋体" w:hAnsi="宋体" w:eastAsia="宋体"/>
                <w:szCs w:val="21"/>
              </w:rPr>
              <w:t>防护等级</w:t>
            </w:r>
          </w:p>
        </w:tc>
        <w:tc>
          <w:tcPr>
            <w:tcW w:w="4934" w:type="dxa"/>
            <w:vAlign w:val="center"/>
          </w:tcPr>
          <w:p>
            <w:pPr>
              <w:jc w:val="center"/>
              <w:rPr>
                <w:rFonts w:ascii="宋体" w:hAnsi="宋体" w:eastAsia="宋体"/>
                <w:bCs/>
                <w:szCs w:val="21"/>
              </w:rPr>
            </w:pPr>
            <w:r>
              <w:rPr>
                <w:rFonts w:ascii="宋体" w:hAnsi="宋体" w:eastAsia="宋体"/>
                <w:kern w:val="0"/>
                <w:szCs w:val="21"/>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Cs w:val="21"/>
              </w:rPr>
            </w:pPr>
            <w:r>
              <w:rPr>
                <w:rFonts w:ascii="宋体" w:hAnsi="宋体" w:eastAsia="宋体"/>
                <w:szCs w:val="21"/>
              </w:rPr>
              <w:t>温度补偿</w:t>
            </w:r>
          </w:p>
        </w:tc>
        <w:tc>
          <w:tcPr>
            <w:tcW w:w="4934" w:type="dxa"/>
            <w:vAlign w:val="center"/>
          </w:tcPr>
          <w:p>
            <w:pPr>
              <w:jc w:val="center"/>
              <w:rPr>
                <w:rFonts w:ascii="宋体" w:hAnsi="宋体" w:eastAsia="宋体"/>
                <w:szCs w:val="21"/>
              </w:rPr>
            </w:pPr>
            <w:r>
              <w:rPr>
                <w:rFonts w:ascii="宋体" w:hAnsi="宋体" w:eastAsia="宋体"/>
                <w:bCs/>
                <w:szCs w:val="21"/>
              </w:rPr>
              <w:t>内置地表水非线性温度-5 ~ 60℃范围内补偿功能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48" w:type="dxa"/>
            <w:vAlign w:val="center"/>
          </w:tcPr>
          <w:p>
            <w:pPr>
              <w:jc w:val="center"/>
              <w:rPr>
                <w:rFonts w:ascii="宋体" w:hAnsi="宋体" w:eastAsia="宋体"/>
                <w:szCs w:val="21"/>
              </w:rPr>
            </w:pPr>
            <w:r>
              <w:rPr>
                <w:rFonts w:ascii="宋体" w:hAnsi="宋体" w:eastAsia="宋体"/>
                <w:szCs w:val="21"/>
              </w:rPr>
              <w:t>MTBF</w:t>
            </w:r>
          </w:p>
        </w:tc>
        <w:tc>
          <w:tcPr>
            <w:tcW w:w="4934" w:type="dxa"/>
            <w:vAlign w:val="center"/>
          </w:tcPr>
          <w:p>
            <w:pPr>
              <w:jc w:val="center"/>
              <w:rPr>
                <w:rFonts w:ascii="宋体" w:hAnsi="宋体" w:eastAsia="宋体"/>
                <w:szCs w:val="21"/>
              </w:rPr>
            </w:pPr>
            <w:r>
              <w:rPr>
                <w:rFonts w:ascii="宋体" w:hAnsi="宋体" w:eastAsia="宋体"/>
                <w:szCs w:val="21"/>
              </w:rPr>
              <w:t>≥720h/次</w:t>
            </w:r>
          </w:p>
        </w:tc>
      </w:tr>
    </w:tbl>
    <w:p>
      <w:pPr>
        <w:tabs>
          <w:tab w:val="left" w:pos="720"/>
        </w:tabs>
        <w:spacing w:line="360" w:lineRule="auto"/>
        <w:rPr>
          <w:rFonts w:ascii="宋体" w:hAnsi="宋体" w:eastAsia="宋体"/>
          <w:b/>
          <w:bCs/>
          <w:sz w:val="24"/>
        </w:rPr>
      </w:pPr>
    </w:p>
    <w:p>
      <w:pPr>
        <w:tabs>
          <w:tab w:val="left" w:pos="720"/>
        </w:tabs>
        <w:spacing w:line="360" w:lineRule="auto"/>
        <w:rPr>
          <w:rFonts w:ascii="宋体" w:hAnsi="宋体" w:eastAsia="宋体"/>
          <w:sz w:val="24"/>
        </w:rPr>
      </w:pPr>
      <w:r>
        <w:rPr>
          <w:rFonts w:hint="eastAsia" w:ascii="宋体" w:hAnsi="宋体" w:eastAsia="宋体"/>
          <w:bCs/>
          <w:sz w:val="24"/>
        </w:rPr>
        <w:t>（7）</w:t>
      </w:r>
      <w:r>
        <w:rPr>
          <w:rFonts w:hint="eastAsia" w:ascii="宋体" w:hAnsi="宋体" w:eastAsia="宋体"/>
          <w:sz w:val="24"/>
        </w:rPr>
        <w:t>浊度</w:t>
      </w:r>
      <w:r>
        <w:rPr>
          <w:rFonts w:ascii="宋体" w:hAnsi="宋体" w:eastAsia="宋体"/>
          <w:sz w:val="24"/>
        </w:rPr>
        <w:t>自动分析仪技术指标要求</w:t>
      </w:r>
    </w:p>
    <w:tbl>
      <w:tblPr>
        <w:tblStyle w:val="25"/>
        <w:tblW w:w="6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b/>
                <w:szCs w:val="21"/>
              </w:rPr>
            </w:pPr>
            <w:r>
              <w:rPr>
                <w:rFonts w:ascii="宋体" w:hAnsi="宋体" w:eastAsia="宋体"/>
                <w:b/>
                <w:szCs w:val="21"/>
              </w:rPr>
              <w:t>项目</w:t>
            </w:r>
          </w:p>
        </w:tc>
        <w:tc>
          <w:tcPr>
            <w:tcW w:w="4536" w:type="dxa"/>
            <w:vAlign w:val="center"/>
          </w:tcPr>
          <w:p>
            <w:pPr>
              <w:jc w:val="center"/>
              <w:rPr>
                <w:rFonts w:ascii="宋体" w:hAnsi="宋体" w:eastAsia="宋体"/>
                <w:b/>
                <w:szCs w:val="21"/>
              </w:rPr>
            </w:pPr>
            <w:r>
              <w:rPr>
                <w:rFonts w:ascii="宋体" w:hAnsi="宋体" w:eastAsia="宋体"/>
                <w:b/>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b/>
                <w:szCs w:val="21"/>
              </w:rPr>
            </w:pPr>
            <w:r>
              <w:rPr>
                <w:rFonts w:hint="eastAsia" w:ascii="宋体" w:hAnsi="宋体" w:eastAsia="宋体"/>
                <w:kern w:val="0"/>
                <w:szCs w:val="21"/>
              </w:rPr>
              <w:t>测定原理</w:t>
            </w:r>
          </w:p>
        </w:tc>
        <w:tc>
          <w:tcPr>
            <w:tcW w:w="4536" w:type="dxa"/>
            <w:vAlign w:val="center"/>
          </w:tcPr>
          <w:p>
            <w:pPr>
              <w:jc w:val="center"/>
              <w:rPr>
                <w:rFonts w:ascii="宋体" w:hAnsi="宋体" w:eastAsia="宋体"/>
                <w:b/>
                <w:szCs w:val="21"/>
              </w:rPr>
            </w:pPr>
            <w:r>
              <w:rPr>
                <w:rFonts w:hint="eastAsia" w:ascii="宋体" w:hAnsi="宋体" w:eastAsia="宋体"/>
                <w:kern w:val="0"/>
                <w:szCs w:val="21"/>
              </w:rPr>
              <w:t>光散射法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Cs w:val="21"/>
              </w:rPr>
            </w:pPr>
            <w:r>
              <w:rPr>
                <w:rFonts w:ascii="宋体" w:hAnsi="宋体" w:eastAsia="宋体"/>
                <w:szCs w:val="21"/>
              </w:rPr>
              <w:t>测定范围</w:t>
            </w:r>
          </w:p>
        </w:tc>
        <w:tc>
          <w:tcPr>
            <w:tcW w:w="4536" w:type="dxa"/>
            <w:vAlign w:val="center"/>
          </w:tcPr>
          <w:p>
            <w:pPr>
              <w:jc w:val="center"/>
              <w:rPr>
                <w:rFonts w:ascii="宋体" w:hAnsi="宋体" w:eastAsia="宋体"/>
                <w:szCs w:val="21"/>
              </w:rPr>
            </w:pPr>
            <w:r>
              <w:rPr>
                <w:rFonts w:ascii="宋体" w:hAnsi="宋体" w:eastAsia="宋体"/>
                <w:szCs w:val="21"/>
              </w:rPr>
              <w:t>0-4000NTU，量程可自动切换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Cs w:val="21"/>
              </w:rPr>
            </w:pPr>
            <w:r>
              <w:rPr>
                <w:rFonts w:hint="eastAsia" w:ascii="宋体" w:hAnsi="宋体" w:eastAsia="宋体"/>
                <w:szCs w:val="21"/>
              </w:rPr>
              <w:t>精密度</w:t>
            </w:r>
          </w:p>
        </w:tc>
        <w:tc>
          <w:tcPr>
            <w:tcW w:w="4536" w:type="dxa"/>
            <w:vAlign w:val="center"/>
          </w:tcPr>
          <w:p>
            <w:pPr>
              <w:jc w:val="center"/>
              <w:rPr>
                <w:rFonts w:ascii="宋体" w:hAnsi="宋体" w:eastAsia="宋体"/>
                <w:szCs w:val="21"/>
              </w:rPr>
            </w:pPr>
            <w:r>
              <w:rPr>
                <w:rFonts w:ascii="宋体" w:hAnsi="宋体" w:eastAsia="宋体"/>
                <w:szCs w:val="21"/>
              </w:rPr>
              <w:t>±</w:t>
            </w:r>
            <w:r>
              <w:rPr>
                <w:rFonts w:hint="eastAsia" w:ascii="宋体" w:hAnsi="宋体" w:eastAsia="宋体"/>
                <w:szCs w:val="21"/>
              </w:rPr>
              <w:t>5</w:t>
            </w: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Cs w:val="21"/>
              </w:rPr>
            </w:pPr>
            <w:r>
              <w:rPr>
                <w:rFonts w:ascii="宋体" w:hAnsi="宋体" w:eastAsia="宋体"/>
                <w:szCs w:val="21"/>
              </w:rPr>
              <w:t>准确度</w:t>
            </w:r>
          </w:p>
        </w:tc>
        <w:tc>
          <w:tcPr>
            <w:tcW w:w="4536" w:type="dxa"/>
            <w:vAlign w:val="center"/>
          </w:tcPr>
          <w:p>
            <w:pPr>
              <w:jc w:val="center"/>
              <w:rPr>
                <w:rFonts w:ascii="宋体" w:hAnsi="宋体" w:eastAsia="宋体"/>
                <w:szCs w:val="21"/>
              </w:rPr>
            </w:pPr>
            <w:r>
              <w:rPr>
                <w:rFonts w:ascii="宋体" w:hAnsi="宋体" w:eastAsia="宋体"/>
                <w:bCs/>
                <w:szCs w:val="21"/>
              </w:rPr>
              <w:t>±</w:t>
            </w:r>
            <w:r>
              <w:rPr>
                <w:rFonts w:hint="eastAsia" w:ascii="宋体" w:hAnsi="宋体" w:eastAsia="宋体"/>
                <w:bCs/>
                <w:szCs w:val="21"/>
              </w:rPr>
              <w:t>5</w:t>
            </w:r>
            <w:r>
              <w:rPr>
                <w:rFonts w:ascii="宋体" w:hAnsi="宋体" w:eastAsia="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Cs w:val="21"/>
              </w:rPr>
            </w:pPr>
            <w:r>
              <w:rPr>
                <w:rFonts w:hint="eastAsia" w:ascii="宋体" w:hAnsi="宋体" w:eastAsia="宋体"/>
                <w:szCs w:val="21"/>
              </w:rPr>
              <w:t>零点漂移</w:t>
            </w:r>
          </w:p>
        </w:tc>
        <w:tc>
          <w:tcPr>
            <w:tcW w:w="4536" w:type="dxa"/>
            <w:vAlign w:val="center"/>
          </w:tcPr>
          <w:p>
            <w:pPr>
              <w:jc w:val="center"/>
              <w:rPr>
                <w:rFonts w:ascii="宋体" w:hAnsi="宋体" w:eastAsia="宋体"/>
                <w:szCs w:val="21"/>
              </w:rPr>
            </w:pPr>
            <w:r>
              <w:rPr>
                <w:rFonts w:ascii="宋体" w:hAnsi="宋体" w:eastAsia="宋体"/>
                <w:szCs w:val="21"/>
              </w:rPr>
              <w:t>±</w:t>
            </w:r>
            <w:r>
              <w:rPr>
                <w:rFonts w:hint="eastAsia" w:ascii="宋体" w:hAnsi="宋体" w:eastAsia="宋体"/>
                <w:szCs w:val="21"/>
              </w:rPr>
              <w:t>5</w:t>
            </w: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Cs w:val="21"/>
              </w:rPr>
            </w:pPr>
            <w:r>
              <w:rPr>
                <w:rFonts w:hint="eastAsia" w:ascii="宋体" w:hAnsi="宋体" w:eastAsia="宋体"/>
                <w:szCs w:val="21"/>
              </w:rPr>
              <w:t>量程漂移</w:t>
            </w:r>
          </w:p>
        </w:tc>
        <w:tc>
          <w:tcPr>
            <w:tcW w:w="4536" w:type="dxa"/>
            <w:vAlign w:val="center"/>
          </w:tcPr>
          <w:p>
            <w:pPr>
              <w:jc w:val="center"/>
              <w:rPr>
                <w:rFonts w:ascii="宋体" w:hAnsi="宋体" w:eastAsia="宋体"/>
                <w:szCs w:val="21"/>
              </w:rPr>
            </w:pPr>
            <w:r>
              <w:rPr>
                <w:rFonts w:ascii="宋体" w:hAnsi="宋体" w:eastAsia="宋体"/>
                <w:bCs/>
                <w:szCs w:val="21"/>
              </w:rPr>
              <w:t>±</w:t>
            </w:r>
            <w:r>
              <w:rPr>
                <w:rFonts w:hint="eastAsia" w:ascii="宋体" w:hAnsi="宋体" w:eastAsia="宋体"/>
                <w:bCs/>
                <w:szCs w:val="21"/>
              </w:rPr>
              <w:t>5</w:t>
            </w:r>
            <w:r>
              <w:rPr>
                <w:rFonts w:ascii="宋体" w:hAnsi="宋体" w:eastAsia="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Cs w:val="21"/>
              </w:rPr>
            </w:pPr>
            <w:r>
              <w:rPr>
                <w:rFonts w:hint="eastAsia" w:ascii="宋体" w:hAnsi="宋体" w:eastAsia="宋体"/>
                <w:szCs w:val="21"/>
              </w:rPr>
              <w:t>实际水样比对</w:t>
            </w:r>
          </w:p>
        </w:tc>
        <w:tc>
          <w:tcPr>
            <w:tcW w:w="4536" w:type="dxa"/>
            <w:vAlign w:val="center"/>
          </w:tcPr>
          <w:p>
            <w:pPr>
              <w:jc w:val="center"/>
              <w:rPr>
                <w:rFonts w:ascii="宋体" w:hAnsi="宋体" w:eastAsia="宋体"/>
                <w:bCs/>
                <w:szCs w:val="21"/>
              </w:rPr>
            </w:pPr>
            <w:r>
              <w:rPr>
                <w:rFonts w:ascii="宋体" w:hAnsi="宋体" w:eastAsia="宋体"/>
                <w:bCs/>
                <w:szCs w:val="21"/>
              </w:rPr>
              <w:t>±</w:t>
            </w:r>
            <w:r>
              <w:rPr>
                <w:rFonts w:hint="eastAsia" w:ascii="宋体" w:hAnsi="宋体" w:eastAsia="宋体"/>
                <w:bCs/>
                <w:szCs w:val="21"/>
              </w:rPr>
              <w:t>10</w:t>
            </w:r>
            <w:r>
              <w:rPr>
                <w:rFonts w:ascii="宋体" w:hAnsi="宋体" w:eastAsia="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Cs w:val="21"/>
              </w:rPr>
            </w:pPr>
            <w:r>
              <w:rPr>
                <w:rFonts w:ascii="宋体" w:hAnsi="宋体" w:eastAsia="宋体"/>
                <w:szCs w:val="21"/>
              </w:rPr>
              <w:t>防护等级</w:t>
            </w:r>
          </w:p>
        </w:tc>
        <w:tc>
          <w:tcPr>
            <w:tcW w:w="4536" w:type="dxa"/>
            <w:vAlign w:val="center"/>
          </w:tcPr>
          <w:p>
            <w:pPr>
              <w:jc w:val="center"/>
              <w:rPr>
                <w:rFonts w:ascii="宋体" w:hAnsi="宋体" w:eastAsia="宋体"/>
                <w:bCs/>
                <w:szCs w:val="21"/>
              </w:rPr>
            </w:pPr>
            <w:r>
              <w:rPr>
                <w:rFonts w:ascii="宋体" w:hAnsi="宋体" w:eastAsia="宋体"/>
                <w:kern w:val="0"/>
                <w:szCs w:val="21"/>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8" w:type="dxa"/>
            <w:vAlign w:val="center"/>
          </w:tcPr>
          <w:p>
            <w:pPr>
              <w:jc w:val="center"/>
              <w:rPr>
                <w:rFonts w:ascii="宋体" w:hAnsi="宋体" w:eastAsia="宋体"/>
                <w:szCs w:val="21"/>
              </w:rPr>
            </w:pPr>
            <w:r>
              <w:rPr>
                <w:rFonts w:ascii="宋体" w:hAnsi="宋体" w:eastAsia="宋体"/>
                <w:szCs w:val="21"/>
              </w:rPr>
              <w:t>MTBF</w:t>
            </w:r>
          </w:p>
        </w:tc>
        <w:tc>
          <w:tcPr>
            <w:tcW w:w="4536" w:type="dxa"/>
            <w:vAlign w:val="center"/>
          </w:tcPr>
          <w:p>
            <w:pPr>
              <w:jc w:val="center"/>
              <w:rPr>
                <w:rFonts w:ascii="宋体" w:hAnsi="宋体" w:eastAsia="宋体"/>
                <w:szCs w:val="21"/>
              </w:rPr>
            </w:pPr>
            <w:r>
              <w:rPr>
                <w:rFonts w:ascii="宋体" w:hAnsi="宋体" w:eastAsia="宋体"/>
                <w:szCs w:val="21"/>
              </w:rPr>
              <w:t>≥720h/次</w:t>
            </w:r>
          </w:p>
        </w:tc>
      </w:tr>
    </w:tbl>
    <w:p>
      <w:pPr>
        <w:spacing w:line="360" w:lineRule="auto"/>
        <w:outlineLvl w:val="3"/>
        <w:rPr>
          <w:rFonts w:ascii="宋体" w:hAnsi="宋体" w:eastAsia="宋体"/>
          <w:b/>
          <w:sz w:val="28"/>
          <w:szCs w:val="28"/>
        </w:rPr>
      </w:pPr>
      <w:r>
        <w:rPr>
          <w:rFonts w:ascii="宋体" w:hAnsi="宋体" w:eastAsia="宋体"/>
          <w:b/>
          <w:sz w:val="28"/>
          <w:szCs w:val="28"/>
        </w:rPr>
        <w:t>（四）系统各单元及集成技术要求</w:t>
      </w:r>
    </w:p>
    <w:p>
      <w:pPr>
        <w:spacing w:line="360" w:lineRule="auto"/>
        <w:outlineLvl w:val="4"/>
        <w:rPr>
          <w:rFonts w:ascii="宋体" w:hAnsi="宋体" w:eastAsia="宋体"/>
          <w:b/>
          <w:sz w:val="24"/>
        </w:rPr>
      </w:pPr>
      <w:r>
        <w:rPr>
          <w:rFonts w:ascii="宋体" w:hAnsi="宋体" w:eastAsia="宋体"/>
          <w:b/>
          <w:sz w:val="24"/>
        </w:rPr>
        <w:t>1</w:t>
      </w:r>
      <w:r>
        <w:rPr>
          <w:rFonts w:hint="eastAsia" w:ascii="宋体" w:hAnsi="宋体" w:eastAsia="宋体"/>
          <w:b/>
          <w:sz w:val="24"/>
        </w:rPr>
        <w:t>.</w:t>
      </w:r>
      <w:r>
        <w:rPr>
          <w:rFonts w:ascii="宋体" w:hAnsi="宋体" w:eastAsia="宋体"/>
          <w:b/>
          <w:sz w:val="24"/>
        </w:rPr>
        <w:t>采</w:t>
      </w:r>
      <w:r>
        <w:rPr>
          <w:rFonts w:hint="eastAsia" w:ascii="宋体" w:hAnsi="宋体" w:eastAsia="宋体"/>
          <w:b/>
          <w:sz w:val="24"/>
        </w:rPr>
        <w:t>配</w:t>
      </w:r>
      <w:r>
        <w:rPr>
          <w:rFonts w:ascii="宋体" w:hAnsi="宋体" w:eastAsia="宋体"/>
          <w:b/>
          <w:sz w:val="24"/>
        </w:rPr>
        <w:t>水单元</w:t>
      </w:r>
    </w:p>
    <w:p>
      <w:pPr>
        <w:spacing w:line="360" w:lineRule="auto"/>
        <w:rPr>
          <w:rFonts w:ascii="宋体" w:hAnsi="宋体" w:eastAsia="宋体"/>
          <w:kern w:val="0"/>
          <w:sz w:val="24"/>
        </w:rPr>
      </w:pPr>
      <w:r>
        <w:rPr>
          <w:rFonts w:hint="eastAsia" w:ascii="宋体" w:hAnsi="宋体" w:eastAsia="宋体"/>
          <w:kern w:val="0"/>
          <w:sz w:val="24"/>
        </w:rPr>
        <w:t>（1）</w:t>
      </w:r>
      <w:r>
        <w:rPr>
          <w:rFonts w:ascii="宋体" w:hAnsi="宋体" w:eastAsia="宋体"/>
          <w:kern w:val="0"/>
          <w:sz w:val="24"/>
        </w:rPr>
        <w:t>采配水单元是保证整个设备正常运转、获取正确数据的关键部分，必须保证所提供的水样可靠、有效，包括采水单元、预处理单元和配水单元。采水单元包含采水方式、采水泵、采水管路铺设等。预处理单元为不同监测项目配备预处理装置，以满足分析仪器对水样的沉降时间和过滤精度等要求。配水单元直接向自动监测仪器供水，其提供的水质、水压和水量均需满足自动监测仪器的要求。</w:t>
      </w:r>
    </w:p>
    <w:p>
      <w:pPr>
        <w:spacing w:line="360" w:lineRule="auto"/>
        <w:rPr>
          <w:rFonts w:ascii="宋体" w:hAnsi="宋体" w:eastAsia="宋体"/>
          <w:kern w:val="0"/>
          <w:sz w:val="24"/>
        </w:rPr>
      </w:pPr>
      <w:r>
        <w:rPr>
          <w:rFonts w:hint="eastAsia" w:ascii="宋体" w:hAnsi="宋体" w:eastAsia="宋体"/>
          <w:kern w:val="0"/>
          <w:sz w:val="24"/>
        </w:rPr>
        <w:t>（2）</w:t>
      </w:r>
      <w:r>
        <w:rPr>
          <w:rFonts w:ascii="宋体" w:hAnsi="宋体" w:eastAsia="宋体"/>
          <w:kern w:val="0"/>
          <w:sz w:val="24"/>
        </w:rPr>
        <w:t>采水模块由设备集成商根据现场情况，设计建设方案。采水模块的功能是在任何情况下确保将采样点的水样引至自动站仪器间内，并满足配水单元和分析仪器的需要。采水单元一般包括采水构筑物、采水泵、采水管道、清洗配套装置和保温配套装置。采样头应在水面下0.5-1.0米浮动，并与水体底部有足够的距离（枯水期＞1米），以保证不受水体底部泥沙的影响。</w:t>
      </w:r>
    </w:p>
    <w:p>
      <w:pPr>
        <w:spacing w:line="360" w:lineRule="auto"/>
        <w:rPr>
          <w:rFonts w:ascii="宋体" w:hAnsi="宋体" w:eastAsia="宋体"/>
          <w:kern w:val="0"/>
          <w:sz w:val="24"/>
        </w:rPr>
      </w:pPr>
      <w:r>
        <w:rPr>
          <w:rFonts w:hint="eastAsia" w:ascii="宋体" w:hAnsi="宋体" w:eastAsia="宋体"/>
          <w:kern w:val="0"/>
          <w:sz w:val="24"/>
        </w:rPr>
        <w:t>（3）</w:t>
      </w:r>
      <w:r>
        <w:rPr>
          <w:rFonts w:ascii="宋体" w:hAnsi="宋体" w:eastAsia="宋体"/>
          <w:kern w:val="0"/>
          <w:sz w:val="24"/>
        </w:rPr>
        <w:t>采水模块应保证在河流不断流（采水点位上、下游50米无水）的情况下，能够正常采水。可以根据河流丰、枯水期点位变化情况，动态调整采水位置。</w:t>
      </w:r>
    </w:p>
    <w:p>
      <w:pPr>
        <w:spacing w:line="360" w:lineRule="auto"/>
        <w:rPr>
          <w:rFonts w:ascii="宋体" w:hAnsi="宋体" w:eastAsia="宋体"/>
          <w:kern w:val="0"/>
          <w:sz w:val="24"/>
        </w:rPr>
      </w:pPr>
      <w:r>
        <w:rPr>
          <w:rFonts w:hint="eastAsia" w:ascii="宋体" w:hAnsi="宋体" w:eastAsia="宋体"/>
          <w:kern w:val="0"/>
          <w:sz w:val="24"/>
        </w:rPr>
        <w:t>（4）</w:t>
      </w:r>
      <w:r>
        <w:rPr>
          <w:rFonts w:ascii="宋体" w:hAnsi="宋体" w:eastAsia="宋体"/>
          <w:kern w:val="0"/>
          <w:sz w:val="24"/>
        </w:rPr>
        <w:t>采水模块设计采用连续或间歇可调节工作方式。</w:t>
      </w:r>
    </w:p>
    <w:p>
      <w:pPr>
        <w:spacing w:line="360" w:lineRule="auto"/>
        <w:rPr>
          <w:rFonts w:ascii="宋体" w:hAnsi="宋体" w:eastAsia="宋体"/>
          <w:kern w:val="0"/>
          <w:sz w:val="24"/>
        </w:rPr>
      </w:pPr>
      <w:r>
        <w:rPr>
          <w:rFonts w:hint="eastAsia" w:ascii="宋体" w:hAnsi="宋体" w:eastAsia="宋体"/>
          <w:kern w:val="0"/>
          <w:sz w:val="24"/>
        </w:rPr>
        <w:t>（5）</w:t>
      </w:r>
      <w:r>
        <w:rPr>
          <w:rFonts w:ascii="宋体" w:hAnsi="宋体" w:eastAsia="宋体"/>
          <w:kern w:val="0"/>
          <w:sz w:val="24"/>
        </w:rPr>
        <w:t>采水模块不能影响样品监测项目的测试结果。</w:t>
      </w:r>
    </w:p>
    <w:p>
      <w:pPr>
        <w:spacing w:line="360" w:lineRule="auto"/>
        <w:rPr>
          <w:rFonts w:ascii="宋体" w:hAnsi="宋体" w:eastAsia="宋体"/>
          <w:kern w:val="0"/>
          <w:sz w:val="24"/>
        </w:rPr>
      </w:pPr>
      <w:r>
        <w:rPr>
          <w:rFonts w:hint="eastAsia" w:ascii="宋体" w:hAnsi="宋体" w:eastAsia="宋体"/>
          <w:kern w:val="0"/>
          <w:sz w:val="24"/>
        </w:rPr>
        <w:t>（6）</w:t>
      </w:r>
      <w:r>
        <w:rPr>
          <w:rFonts w:ascii="宋体" w:hAnsi="宋体" w:eastAsia="宋体"/>
          <w:kern w:val="0"/>
          <w:sz w:val="24"/>
        </w:rPr>
        <w:t>采水模块能够在停电时自我保护，再次通电时自动恢复。</w:t>
      </w:r>
    </w:p>
    <w:p>
      <w:pPr>
        <w:spacing w:line="360" w:lineRule="auto"/>
        <w:rPr>
          <w:rFonts w:ascii="宋体" w:hAnsi="宋体" w:eastAsia="宋体"/>
          <w:kern w:val="0"/>
          <w:sz w:val="24"/>
        </w:rPr>
      </w:pPr>
      <w:r>
        <w:rPr>
          <w:rFonts w:hint="eastAsia" w:ascii="宋体" w:hAnsi="宋体" w:eastAsia="宋体"/>
          <w:kern w:val="0"/>
          <w:sz w:val="24"/>
        </w:rPr>
        <w:t>（7）</w:t>
      </w:r>
      <w:r>
        <w:rPr>
          <w:rFonts w:ascii="宋体" w:hAnsi="宋体" w:eastAsia="宋体"/>
          <w:kern w:val="0"/>
          <w:sz w:val="24"/>
        </w:rPr>
        <w:t>取水口下方加设不锈钢丝网，防止进水口淤积和杂物堵塞。采取必要的措施，保证取水口在封冻期不冻结。</w:t>
      </w:r>
    </w:p>
    <w:p>
      <w:pPr>
        <w:spacing w:line="360" w:lineRule="auto"/>
        <w:rPr>
          <w:rFonts w:ascii="宋体" w:hAnsi="宋体" w:eastAsia="宋体"/>
          <w:kern w:val="0"/>
          <w:sz w:val="24"/>
        </w:rPr>
      </w:pPr>
      <w:r>
        <w:rPr>
          <w:rFonts w:hint="eastAsia" w:ascii="宋体" w:hAnsi="宋体" w:eastAsia="宋体"/>
          <w:kern w:val="0"/>
          <w:sz w:val="24"/>
        </w:rPr>
        <w:t>（8）</w:t>
      </w:r>
      <w:r>
        <w:rPr>
          <w:rFonts w:ascii="宋体" w:hAnsi="宋体" w:eastAsia="宋体"/>
          <w:kern w:val="0"/>
          <w:sz w:val="24"/>
        </w:rPr>
        <w:t>采水模块要方便采样头的提升与安装，以便进行人工的日常清洗和维护。</w:t>
      </w:r>
    </w:p>
    <w:p>
      <w:pPr>
        <w:spacing w:line="360" w:lineRule="auto"/>
        <w:rPr>
          <w:rFonts w:ascii="宋体" w:hAnsi="宋体" w:eastAsia="宋体"/>
          <w:kern w:val="0"/>
          <w:sz w:val="24"/>
        </w:rPr>
      </w:pPr>
      <w:r>
        <w:rPr>
          <w:rFonts w:hint="eastAsia" w:ascii="宋体" w:hAnsi="宋体" w:eastAsia="宋体"/>
          <w:kern w:val="0"/>
          <w:sz w:val="24"/>
        </w:rPr>
        <w:t>（9）</w:t>
      </w:r>
      <w:r>
        <w:rPr>
          <w:rFonts w:ascii="宋体" w:hAnsi="宋体" w:eastAsia="宋体"/>
          <w:kern w:val="0"/>
          <w:sz w:val="24"/>
        </w:rPr>
        <w:t>根据水站现场条件和河道功能，设计采水设施采取不同的保护方式，以避免采水设施损坏，影响水站有效运行。</w:t>
      </w:r>
    </w:p>
    <w:p>
      <w:pPr>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10</w:t>
      </w:r>
      <w:r>
        <w:rPr>
          <w:rFonts w:ascii="宋体" w:hAnsi="宋体" w:eastAsia="宋体"/>
          <w:sz w:val="24"/>
        </w:rPr>
        <w:t>）系统不破坏水质的任何成分。</w:t>
      </w:r>
    </w:p>
    <w:p>
      <w:pPr>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11</w:t>
      </w:r>
      <w:r>
        <w:rPr>
          <w:rFonts w:ascii="宋体" w:hAnsi="宋体" w:eastAsia="宋体"/>
          <w:sz w:val="24"/>
        </w:rPr>
        <w:t>）管路清洗方式保证管道内无泥沙、无藻、管壁无附着物</w:t>
      </w:r>
      <w:r>
        <w:rPr>
          <w:rFonts w:hint="eastAsia" w:ascii="宋体" w:hAnsi="宋体" w:eastAsia="宋体"/>
          <w:sz w:val="24"/>
        </w:rPr>
        <w:t>；</w:t>
      </w:r>
      <w:r>
        <w:rPr>
          <w:rFonts w:ascii="宋体" w:hAnsi="宋体" w:eastAsia="宋体"/>
          <w:sz w:val="24"/>
        </w:rPr>
        <w:t>管路清洗不能对环境造成二次污染</w:t>
      </w:r>
      <w:r>
        <w:rPr>
          <w:rFonts w:hint="eastAsia" w:ascii="宋体" w:hAnsi="宋体" w:eastAsia="宋体"/>
          <w:sz w:val="24"/>
        </w:rPr>
        <w:t>。</w:t>
      </w:r>
    </w:p>
    <w:p>
      <w:pPr>
        <w:spacing w:line="360" w:lineRule="auto"/>
        <w:rPr>
          <w:rFonts w:ascii="宋体" w:hAnsi="宋体" w:eastAsia="宋体"/>
          <w:b/>
          <w:bCs/>
          <w:sz w:val="24"/>
        </w:rPr>
      </w:pPr>
      <w:r>
        <w:rPr>
          <w:rFonts w:hint="eastAsia" w:ascii="宋体" w:hAnsi="宋体" w:eastAsia="宋体"/>
          <w:sz w:val="24"/>
        </w:rPr>
        <w:t>（12）</w:t>
      </w:r>
      <w:r>
        <w:rPr>
          <w:rFonts w:ascii="宋体" w:hAnsi="宋体" w:eastAsia="宋体"/>
          <w:sz w:val="24"/>
        </w:rPr>
        <w:t>方便系统手动比对取水样同时确保手工比对水样和系统取水水样的一致性，设计手工比对取水口</w:t>
      </w:r>
      <w:r>
        <w:rPr>
          <w:rFonts w:hint="eastAsia" w:ascii="宋体" w:hAnsi="宋体" w:eastAsia="宋体"/>
          <w:sz w:val="24"/>
        </w:rPr>
        <w:t>。</w:t>
      </w:r>
    </w:p>
    <w:p>
      <w:pPr>
        <w:spacing w:line="360" w:lineRule="auto"/>
        <w:outlineLvl w:val="4"/>
        <w:rPr>
          <w:rFonts w:ascii="宋体" w:hAnsi="宋体" w:eastAsia="宋体"/>
          <w:b/>
          <w:sz w:val="24"/>
        </w:rPr>
      </w:pPr>
      <w:r>
        <w:rPr>
          <w:rFonts w:hint="eastAsia" w:ascii="宋体" w:hAnsi="宋体" w:eastAsia="宋体"/>
          <w:b/>
          <w:sz w:val="24"/>
        </w:rPr>
        <w:t>2.</w:t>
      </w:r>
      <w:r>
        <w:rPr>
          <w:rFonts w:ascii="宋体" w:hAnsi="宋体" w:eastAsia="宋体"/>
          <w:b/>
          <w:sz w:val="24"/>
        </w:rPr>
        <w:t>控制单元及系统集成</w:t>
      </w:r>
    </w:p>
    <w:p>
      <w:pPr>
        <w:spacing w:line="360" w:lineRule="auto"/>
        <w:jc w:val="left"/>
        <w:rPr>
          <w:rFonts w:ascii="宋体" w:hAnsi="宋体" w:eastAsia="宋体"/>
          <w:sz w:val="24"/>
        </w:rPr>
      </w:pPr>
      <w:r>
        <w:rPr>
          <w:rFonts w:ascii="宋体" w:hAnsi="宋体" w:eastAsia="宋体"/>
          <w:sz w:val="24"/>
        </w:rPr>
        <w:t>（1）机电一体式设计思想，结构紧凑，运行可靠；预处理单元及配水单元、控制单元全部集成在一体化机柜内，方便现场安装</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2）现场控制单元主要由中控程序、中控主板以及一些控制元件等部分组成，均安装于户外机柜中。中控程序按照预先设定的程序负责完成设备取水配水控制，启动测试，清洗等一系列的动作，同时可以监测设备状态，并根据状态对设备动作做相应的调整。配置显示屏，便于对现场设备运行状态监控，数据实时上传服务器，包括水质检测数据。</w:t>
      </w:r>
    </w:p>
    <w:p>
      <w:pPr>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）系统具有良好的扩展型，满足未来增加</w:t>
      </w:r>
      <w:r>
        <w:rPr>
          <w:rFonts w:hint="eastAsia" w:ascii="宋体" w:hAnsi="宋体" w:eastAsia="宋体"/>
          <w:sz w:val="24"/>
        </w:rPr>
        <w:t>2</w:t>
      </w:r>
      <w:r>
        <w:rPr>
          <w:rFonts w:ascii="宋体" w:hAnsi="宋体" w:eastAsia="宋体"/>
          <w:sz w:val="24"/>
        </w:rPr>
        <w:t>-</w:t>
      </w:r>
      <w:r>
        <w:rPr>
          <w:rFonts w:hint="eastAsia" w:ascii="宋体" w:hAnsi="宋体" w:eastAsia="宋体"/>
          <w:sz w:val="24"/>
        </w:rPr>
        <w:t>3</w:t>
      </w:r>
      <w:r>
        <w:rPr>
          <w:rFonts w:ascii="宋体" w:hAnsi="宋体" w:eastAsia="宋体"/>
          <w:sz w:val="24"/>
        </w:rPr>
        <w:t>台仪表的需要，不需要重新增加新系统的投入</w:t>
      </w:r>
      <w:r>
        <w:rPr>
          <w:rFonts w:hint="eastAsia" w:ascii="宋体" w:hAnsi="宋体" w:eastAsia="宋体"/>
          <w:sz w:val="24"/>
        </w:rPr>
        <w:t>。</w:t>
      </w:r>
    </w:p>
    <w:p>
      <w:pPr>
        <w:spacing w:line="360" w:lineRule="auto"/>
        <w:rPr>
          <w:rFonts w:ascii="宋体" w:hAnsi="宋体" w:eastAsia="宋体"/>
          <w:kern w:val="0"/>
          <w:sz w:val="24"/>
        </w:rPr>
      </w:pPr>
      <w:r>
        <w:rPr>
          <w:rFonts w:ascii="宋体" w:hAnsi="宋体" w:eastAsia="宋体"/>
          <w:sz w:val="24"/>
        </w:rPr>
        <w:t>（</w:t>
      </w:r>
      <w:r>
        <w:rPr>
          <w:rFonts w:hint="eastAsia" w:ascii="宋体" w:hAnsi="宋体" w:eastAsia="宋体"/>
          <w:sz w:val="24"/>
        </w:rPr>
        <w:t>4</w:t>
      </w:r>
      <w:r>
        <w:rPr>
          <w:rFonts w:ascii="宋体" w:hAnsi="宋体" w:eastAsia="宋体"/>
          <w:sz w:val="24"/>
        </w:rPr>
        <w:t>）</w:t>
      </w:r>
      <w:r>
        <w:rPr>
          <w:rFonts w:ascii="宋体" w:hAnsi="宋体" w:eastAsia="宋体"/>
          <w:kern w:val="0"/>
          <w:sz w:val="24"/>
        </w:rPr>
        <w:t>对采水、配水、管路清洗等单元以及仪器的校准和同步启动等工作模式进行自动控制，并对故障或异常事件进行处理。</w:t>
      </w:r>
    </w:p>
    <w:p>
      <w:pPr>
        <w:spacing w:line="360" w:lineRule="auto"/>
        <w:rPr>
          <w:rFonts w:ascii="宋体" w:hAnsi="宋体" w:eastAsia="宋体"/>
          <w:kern w:val="0"/>
          <w:sz w:val="24"/>
        </w:rPr>
      </w:pPr>
      <w:r>
        <w:rPr>
          <w:rFonts w:hint="eastAsia" w:ascii="宋体" w:hAnsi="宋体" w:eastAsia="宋体"/>
          <w:kern w:val="0"/>
          <w:sz w:val="24"/>
        </w:rPr>
        <w:t>（5）</w:t>
      </w:r>
      <w:r>
        <w:rPr>
          <w:rFonts w:ascii="宋体" w:hAnsi="宋体" w:eastAsia="宋体"/>
          <w:kern w:val="0"/>
          <w:sz w:val="24"/>
        </w:rPr>
        <w:t>对仪器的分析结果进行采集、处理和存储。</w:t>
      </w:r>
    </w:p>
    <w:p>
      <w:pPr>
        <w:spacing w:line="360" w:lineRule="auto"/>
        <w:rPr>
          <w:rFonts w:ascii="宋体" w:hAnsi="宋体" w:eastAsia="宋体"/>
          <w:kern w:val="0"/>
          <w:sz w:val="24"/>
        </w:rPr>
      </w:pPr>
      <w:r>
        <w:rPr>
          <w:rFonts w:hint="eastAsia" w:ascii="宋体" w:hAnsi="宋体" w:eastAsia="宋体"/>
          <w:kern w:val="0"/>
          <w:sz w:val="24"/>
        </w:rPr>
        <w:t>（6）</w:t>
      </w:r>
      <w:r>
        <w:rPr>
          <w:rFonts w:ascii="宋体" w:hAnsi="宋体" w:eastAsia="宋体"/>
          <w:kern w:val="0"/>
          <w:sz w:val="24"/>
        </w:rPr>
        <w:t>与仪器间通信采用基于</w:t>
      </w:r>
      <w:r>
        <w:rPr>
          <w:rFonts w:hint="eastAsia" w:ascii="宋体" w:hAnsi="宋体" w:eastAsia="宋体"/>
          <w:kern w:val="0"/>
          <w:sz w:val="24"/>
        </w:rPr>
        <w:t>RS232、</w:t>
      </w:r>
      <w:r>
        <w:rPr>
          <w:rFonts w:ascii="宋体" w:hAnsi="宋体" w:eastAsia="宋体"/>
          <w:kern w:val="0"/>
          <w:sz w:val="24"/>
        </w:rPr>
        <w:t>RS485</w:t>
      </w:r>
      <w:r>
        <w:rPr>
          <w:rFonts w:hint="eastAsia" w:ascii="宋体" w:hAnsi="宋体" w:eastAsia="宋体"/>
          <w:kern w:val="0"/>
          <w:sz w:val="24"/>
        </w:rPr>
        <w:t>等</w:t>
      </w:r>
      <w:r>
        <w:rPr>
          <w:rFonts w:ascii="宋体" w:hAnsi="宋体" w:eastAsia="宋体"/>
          <w:kern w:val="0"/>
          <w:sz w:val="24"/>
        </w:rPr>
        <w:t>的现场总线方式。</w:t>
      </w:r>
    </w:p>
    <w:p>
      <w:pPr>
        <w:spacing w:line="360" w:lineRule="auto"/>
        <w:rPr>
          <w:rFonts w:ascii="宋体" w:hAnsi="宋体" w:eastAsia="宋体"/>
          <w:kern w:val="0"/>
          <w:sz w:val="24"/>
        </w:rPr>
      </w:pPr>
      <w:r>
        <w:rPr>
          <w:rFonts w:hint="eastAsia" w:ascii="宋体" w:hAnsi="宋体" w:eastAsia="宋体"/>
          <w:kern w:val="0"/>
          <w:sz w:val="24"/>
        </w:rPr>
        <w:t>（7）</w:t>
      </w:r>
      <w:r>
        <w:rPr>
          <w:rFonts w:ascii="宋体" w:hAnsi="宋体" w:eastAsia="宋体"/>
          <w:kern w:val="0"/>
          <w:sz w:val="24"/>
        </w:rPr>
        <w:t>参数设置功能应可以设置采样周期、设备复位等参数设置。</w:t>
      </w:r>
    </w:p>
    <w:p>
      <w:pPr>
        <w:spacing w:line="360" w:lineRule="auto"/>
        <w:rPr>
          <w:rFonts w:ascii="宋体" w:hAnsi="宋体" w:eastAsia="宋体"/>
          <w:kern w:val="0"/>
          <w:sz w:val="24"/>
        </w:rPr>
      </w:pPr>
      <w:r>
        <w:rPr>
          <w:rFonts w:hint="eastAsia" w:ascii="宋体" w:hAnsi="宋体" w:eastAsia="宋体"/>
          <w:kern w:val="0"/>
          <w:sz w:val="24"/>
        </w:rPr>
        <w:t>（8）</w:t>
      </w:r>
      <w:r>
        <w:rPr>
          <w:rFonts w:ascii="宋体" w:hAnsi="宋体" w:eastAsia="宋体"/>
          <w:kern w:val="0"/>
          <w:sz w:val="24"/>
        </w:rPr>
        <w:t>可现场或远程对设备设置连续或间歇的运行模式。</w:t>
      </w:r>
    </w:p>
    <w:p>
      <w:pPr>
        <w:spacing w:line="360" w:lineRule="auto"/>
        <w:rPr>
          <w:rFonts w:ascii="宋体" w:hAnsi="宋体" w:eastAsia="宋体"/>
          <w:kern w:val="0"/>
          <w:sz w:val="24"/>
        </w:rPr>
      </w:pPr>
      <w:r>
        <w:rPr>
          <w:rFonts w:hint="eastAsia" w:ascii="宋体" w:hAnsi="宋体" w:eastAsia="宋体"/>
          <w:kern w:val="0"/>
          <w:sz w:val="24"/>
        </w:rPr>
        <w:t>（9）</w:t>
      </w:r>
      <w:r>
        <w:rPr>
          <w:rFonts w:ascii="宋体" w:hAnsi="宋体" w:eastAsia="宋体"/>
          <w:kern w:val="0"/>
          <w:sz w:val="24"/>
        </w:rPr>
        <w:t>控制模块能对仪器进行一些基本功能的控制，如工作模式控制、校准模式控制、清洗控制等。</w:t>
      </w:r>
    </w:p>
    <w:p>
      <w:pPr>
        <w:spacing w:line="360" w:lineRule="auto"/>
        <w:rPr>
          <w:rFonts w:ascii="宋体" w:hAnsi="宋体" w:eastAsia="宋体"/>
          <w:kern w:val="0"/>
          <w:sz w:val="24"/>
        </w:rPr>
      </w:pPr>
      <w:r>
        <w:rPr>
          <w:rFonts w:hint="eastAsia" w:ascii="宋体" w:hAnsi="宋体" w:eastAsia="宋体"/>
          <w:kern w:val="0"/>
          <w:sz w:val="24"/>
        </w:rPr>
        <w:t>（10）</w:t>
      </w:r>
      <w:r>
        <w:rPr>
          <w:rFonts w:ascii="宋体" w:hAnsi="宋体" w:eastAsia="宋体"/>
          <w:kern w:val="0"/>
          <w:sz w:val="24"/>
        </w:rPr>
        <w:t>在满足现场控制点的基础上具有备用控制点，以备日后控制单元的修改和升级。</w:t>
      </w:r>
    </w:p>
    <w:p>
      <w:pPr>
        <w:spacing w:line="360" w:lineRule="auto"/>
        <w:rPr>
          <w:rFonts w:ascii="宋体" w:hAnsi="宋体" w:eastAsia="宋体"/>
          <w:kern w:val="0"/>
          <w:sz w:val="24"/>
        </w:rPr>
      </w:pPr>
      <w:r>
        <w:rPr>
          <w:rFonts w:hint="eastAsia" w:ascii="宋体" w:hAnsi="宋体" w:eastAsia="宋体"/>
          <w:kern w:val="0"/>
          <w:sz w:val="24"/>
        </w:rPr>
        <w:t>（11）</w:t>
      </w:r>
      <w:r>
        <w:rPr>
          <w:rFonts w:ascii="宋体" w:hAnsi="宋体" w:eastAsia="宋体"/>
          <w:kern w:val="0"/>
          <w:sz w:val="24"/>
        </w:rPr>
        <w:t>具备自动启动和自动恢复功能。</w:t>
      </w:r>
    </w:p>
    <w:p>
      <w:pPr>
        <w:spacing w:line="360" w:lineRule="auto"/>
        <w:outlineLvl w:val="4"/>
        <w:rPr>
          <w:rFonts w:ascii="宋体" w:hAnsi="宋体" w:eastAsia="宋体"/>
          <w:b/>
          <w:sz w:val="24"/>
        </w:rPr>
      </w:pPr>
      <w:r>
        <w:rPr>
          <w:rFonts w:hint="eastAsia" w:ascii="宋体" w:hAnsi="宋体" w:eastAsia="宋体"/>
          <w:b/>
          <w:sz w:val="24"/>
        </w:rPr>
        <w:t>3.</w:t>
      </w:r>
      <w:r>
        <w:rPr>
          <w:rFonts w:ascii="宋体" w:hAnsi="宋体" w:eastAsia="宋体"/>
          <w:b/>
          <w:sz w:val="24"/>
        </w:rPr>
        <w:t>数据采集与传输</w:t>
      </w:r>
    </w:p>
    <w:p>
      <w:pPr>
        <w:tabs>
          <w:tab w:val="left" w:pos="1260"/>
        </w:tabs>
        <w:spacing w:line="360" w:lineRule="auto"/>
        <w:rPr>
          <w:rFonts w:ascii="宋体" w:hAnsi="宋体" w:eastAsia="宋体"/>
          <w:sz w:val="24"/>
        </w:rPr>
      </w:pPr>
      <w:r>
        <w:rPr>
          <w:rFonts w:ascii="宋体" w:hAnsi="宋体" w:eastAsia="宋体"/>
          <w:sz w:val="24"/>
        </w:rPr>
        <w:t>（1）数据采集与传输应完整、准确、可靠，采集值与测量值误差≤1%。</w:t>
      </w:r>
    </w:p>
    <w:p>
      <w:pPr>
        <w:spacing w:line="360" w:lineRule="auto"/>
        <w:rPr>
          <w:rFonts w:ascii="宋体" w:hAnsi="宋体" w:eastAsia="宋体"/>
          <w:kern w:val="0"/>
          <w:sz w:val="24"/>
        </w:rPr>
      </w:pPr>
      <w:r>
        <w:rPr>
          <w:rFonts w:ascii="宋体" w:hAnsi="宋体" w:eastAsia="宋体"/>
          <w:sz w:val="24"/>
        </w:rPr>
        <w:t>（2）</w:t>
      </w:r>
      <w:r>
        <w:rPr>
          <w:rFonts w:ascii="宋体" w:hAnsi="宋体" w:eastAsia="宋体"/>
          <w:kern w:val="0"/>
          <w:sz w:val="24"/>
        </w:rPr>
        <w:t>模块化结构设计，可方便扩展标准I/O口</w:t>
      </w:r>
      <w:r>
        <w:rPr>
          <w:rFonts w:hint="eastAsia" w:ascii="宋体" w:hAnsi="宋体" w:eastAsia="宋体"/>
          <w:kern w:val="0"/>
          <w:sz w:val="24"/>
        </w:rPr>
        <w:t>；</w:t>
      </w:r>
      <w:r>
        <w:rPr>
          <w:rFonts w:ascii="宋体" w:hAnsi="宋体" w:eastAsia="宋体"/>
          <w:kern w:val="0"/>
          <w:sz w:val="24"/>
        </w:rPr>
        <w:t>支持GPRS移动通讯方式</w:t>
      </w:r>
      <w:r>
        <w:rPr>
          <w:rFonts w:hint="eastAsia" w:ascii="宋体" w:hAnsi="宋体" w:eastAsia="宋体"/>
          <w:kern w:val="0"/>
          <w:sz w:val="24"/>
        </w:rPr>
        <w:t>；</w:t>
      </w:r>
      <w:r>
        <w:rPr>
          <w:rFonts w:ascii="宋体" w:hAnsi="宋体" w:eastAsia="宋体"/>
          <w:kern w:val="0"/>
          <w:sz w:val="24"/>
        </w:rPr>
        <w:t>支持远程控制现场设备以及修改设备参数等</w:t>
      </w:r>
      <w:r>
        <w:rPr>
          <w:rFonts w:hint="eastAsia" w:ascii="宋体" w:hAnsi="宋体" w:eastAsia="宋体"/>
          <w:kern w:val="0"/>
          <w:sz w:val="24"/>
        </w:rPr>
        <w:t>；</w:t>
      </w:r>
      <w:r>
        <w:rPr>
          <w:rFonts w:ascii="宋体" w:hAnsi="宋体" w:eastAsia="宋体"/>
          <w:kern w:val="0"/>
          <w:sz w:val="24"/>
        </w:rPr>
        <w:t>可远程实时监测在线设备的电源电压、温度情况，并有报警功能。</w:t>
      </w:r>
    </w:p>
    <w:p>
      <w:pPr>
        <w:tabs>
          <w:tab w:val="left" w:pos="1260"/>
        </w:tabs>
        <w:spacing w:line="360" w:lineRule="auto"/>
        <w:rPr>
          <w:rFonts w:ascii="宋体" w:hAnsi="宋体" w:eastAsia="宋体"/>
          <w:sz w:val="24"/>
        </w:rPr>
      </w:pPr>
      <w:r>
        <w:rPr>
          <w:rFonts w:ascii="宋体" w:hAnsi="宋体" w:eastAsia="宋体"/>
          <w:sz w:val="24"/>
        </w:rPr>
        <w:t>（3）现场可动态显示系统的实时状态，实时数据，历史报表和历史报警</w:t>
      </w:r>
      <w:r>
        <w:rPr>
          <w:rFonts w:hint="eastAsia" w:ascii="宋体" w:hAnsi="宋体" w:eastAsia="宋体"/>
          <w:sz w:val="24"/>
        </w:rPr>
        <w:t>。</w:t>
      </w:r>
    </w:p>
    <w:p>
      <w:pPr>
        <w:tabs>
          <w:tab w:val="left" w:pos="1260"/>
        </w:tabs>
        <w:spacing w:line="360" w:lineRule="auto"/>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）测量数据及实时状态的查询功能，按需要进行各种方式的数据查询</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w:t>
      </w:r>
      <w:r>
        <w:rPr>
          <w:rFonts w:hint="eastAsia" w:ascii="宋体" w:hAnsi="宋体" w:eastAsia="宋体"/>
          <w:sz w:val="24"/>
        </w:rPr>
        <w:t>5</w:t>
      </w:r>
      <w:r>
        <w:rPr>
          <w:rFonts w:ascii="宋体" w:hAnsi="宋体" w:eastAsia="宋体"/>
          <w:sz w:val="24"/>
        </w:rPr>
        <w:t>）子站断电后数据至少保存30天，并能储存365天以上的原始数据，同时保存相应时期发生的有关校准、断电及其它事件记录。</w:t>
      </w:r>
    </w:p>
    <w:p>
      <w:pPr>
        <w:tabs>
          <w:tab w:val="left" w:pos="1260"/>
        </w:tabs>
        <w:spacing w:line="360" w:lineRule="auto"/>
        <w:rPr>
          <w:rFonts w:ascii="宋体" w:hAnsi="宋体" w:eastAsia="宋体"/>
          <w:sz w:val="24"/>
        </w:rPr>
      </w:pPr>
      <w:r>
        <w:rPr>
          <w:rFonts w:hint="eastAsia" w:ascii="宋体" w:hAnsi="宋体" w:eastAsia="宋体"/>
          <w:sz w:val="24"/>
        </w:rPr>
        <w:t>（6）</w:t>
      </w:r>
      <w:r>
        <w:rPr>
          <w:rFonts w:ascii="宋体" w:hAnsi="宋体" w:eastAsia="宋体"/>
          <w:sz w:val="24"/>
        </w:rPr>
        <w:t>数据传输单元负责完成数据从现场到远程</w:t>
      </w:r>
      <w:r>
        <w:rPr>
          <w:rFonts w:hint="eastAsia" w:ascii="宋体" w:hAnsi="宋体" w:eastAsia="宋体"/>
          <w:sz w:val="24"/>
        </w:rPr>
        <w:t>平台</w:t>
      </w:r>
      <w:r>
        <w:rPr>
          <w:rFonts w:ascii="宋体" w:hAnsi="宋体" w:eastAsia="宋体"/>
          <w:sz w:val="24"/>
        </w:rPr>
        <w:t>的传输工作。通过规定的数字通讯接口采集监测仪器实时数据并存储，数据以无线</w:t>
      </w:r>
      <w:r>
        <w:rPr>
          <w:rFonts w:hint="eastAsia" w:ascii="宋体" w:hAnsi="宋体" w:eastAsia="宋体"/>
          <w:sz w:val="24"/>
        </w:rPr>
        <w:t>或有线</w:t>
      </w:r>
      <w:r>
        <w:rPr>
          <w:rFonts w:ascii="宋体" w:hAnsi="宋体" w:eastAsia="宋体"/>
          <w:sz w:val="24"/>
        </w:rPr>
        <w:t>通讯方式进行数据传输</w:t>
      </w:r>
      <w:r>
        <w:rPr>
          <w:rFonts w:hint="eastAsia" w:ascii="宋体" w:hAnsi="宋体" w:eastAsia="宋体"/>
          <w:sz w:val="24"/>
        </w:rPr>
        <w:t>。</w:t>
      </w:r>
    </w:p>
    <w:p>
      <w:pPr>
        <w:tabs>
          <w:tab w:val="left" w:pos="1260"/>
        </w:tabs>
        <w:spacing w:line="360" w:lineRule="auto"/>
        <w:rPr>
          <w:rFonts w:ascii="宋体" w:hAnsi="宋体" w:eastAsia="宋体"/>
          <w:b/>
          <w:sz w:val="28"/>
          <w:szCs w:val="28"/>
        </w:rPr>
      </w:pPr>
      <w:r>
        <w:rPr>
          <w:rFonts w:hint="eastAsia" w:ascii="宋体" w:hAnsi="宋体" w:eastAsia="宋体"/>
          <w:b/>
          <w:sz w:val="28"/>
          <w:szCs w:val="28"/>
        </w:rPr>
        <w:t>（五）监控软件平台</w:t>
      </w:r>
    </w:p>
    <w:p>
      <w:pPr>
        <w:tabs>
          <w:tab w:val="left" w:pos="1260"/>
        </w:tabs>
        <w:spacing w:line="360" w:lineRule="auto"/>
        <w:ind w:firstLine="480" w:firstLineChars="200"/>
        <w:rPr>
          <w:rFonts w:ascii="宋体" w:hAnsi="宋体" w:eastAsia="宋体"/>
          <w:sz w:val="24"/>
        </w:rPr>
      </w:pPr>
      <w:r>
        <w:rPr>
          <w:rFonts w:hint="eastAsia" w:ascii="宋体" w:hAnsi="宋体" w:eastAsia="宋体"/>
          <w:sz w:val="24"/>
        </w:rPr>
        <w:t>要有独立运行的监控平台，能部署到济南政务云计算中心，对中标的非国标法微型站进行管理，平台要有数据查询、统计分析、两率统计、预警报警、数据审核、各种报表制作、故障情况上报等功能，数据及视频能无条件传输到济南市智慧环保大平台、济南环境</w:t>
      </w:r>
      <w:r>
        <w:rPr>
          <w:rFonts w:ascii="宋体" w:hAnsi="宋体" w:eastAsia="宋体"/>
          <w:sz w:val="24"/>
        </w:rPr>
        <w:t>App</w:t>
      </w:r>
      <w:r>
        <w:rPr>
          <w:rFonts w:hint="eastAsia" w:ascii="宋体" w:hAnsi="宋体" w:eastAsia="宋体"/>
          <w:sz w:val="24"/>
        </w:rPr>
        <w:t>和终端数据库，并能对各级控制中心进行权限设置</w:t>
      </w:r>
      <w:r>
        <w:rPr>
          <w:rFonts w:ascii="宋体" w:hAnsi="宋体" w:eastAsia="宋体"/>
          <w:sz w:val="24"/>
        </w:rPr>
        <w:t>。</w:t>
      </w:r>
    </w:p>
    <w:p>
      <w:pPr>
        <w:spacing w:line="360" w:lineRule="auto"/>
        <w:outlineLvl w:val="2"/>
        <w:rPr>
          <w:rFonts w:ascii="宋体" w:hAnsi="宋体" w:eastAsia="宋体"/>
          <w:b/>
          <w:sz w:val="30"/>
          <w:szCs w:val="30"/>
        </w:rPr>
      </w:pPr>
      <w:r>
        <w:rPr>
          <w:rFonts w:hint="eastAsia" w:ascii="宋体" w:hAnsi="宋体" w:eastAsia="宋体"/>
          <w:b/>
          <w:sz w:val="30"/>
          <w:szCs w:val="30"/>
        </w:rPr>
        <w:t>五</w:t>
      </w:r>
      <w:r>
        <w:rPr>
          <w:rFonts w:ascii="宋体" w:hAnsi="宋体" w:eastAsia="宋体"/>
          <w:b/>
          <w:sz w:val="30"/>
          <w:szCs w:val="30"/>
        </w:rPr>
        <w:t>、系统运行</w:t>
      </w:r>
      <w:r>
        <w:rPr>
          <w:rFonts w:hint="eastAsia" w:ascii="宋体" w:hAnsi="宋体" w:eastAsia="宋体"/>
          <w:b/>
          <w:sz w:val="30"/>
          <w:szCs w:val="30"/>
        </w:rPr>
        <w:t>技术要求</w:t>
      </w:r>
    </w:p>
    <w:p>
      <w:pPr>
        <w:spacing w:line="360" w:lineRule="auto"/>
        <w:rPr>
          <w:rFonts w:ascii="宋体" w:hAnsi="宋体" w:eastAsia="宋体"/>
          <w:sz w:val="24"/>
        </w:rPr>
      </w:pPr>
      <w:r>
        <w:rPr>
          <w:rFonts w:hint="eastAsia" w:ascii="宋体" w:hAnsi="宋体" w:eastAsia="宋体"/>
          <w:sz w:val="24"/>
        </w:rPr>
        <w:t>1.</w:t>
      </w:r>
      <w:r>
        <w:rPr>
          <w:rFonts w:ascii="宋体" w:hAnsi="宋体" w:eastAsia="宋体"/>
          <w:sz w:val="24"/>
        </w:rPr>
        <w:t>现场自动控制运行，实现无人值守。包括采、配水单元、管路清洗单元的运行自动控制，以及仪器校准和同步启动等的自动控制。系统全自动稳定运行，每</w:t>
      </w:r>
      <w:r>
        <w:rPr>
          <w:rFonts w:hint="eastAsia" w:ascii="宋体" w:hAnsi="宋体" w:eastAsia="宋体"/>
          <w:sz w:val="24"/>
        </w:rPr>
        <w:t>1</w:t>
      </w:r>
      <w:r>
        <w:rPr>
          <w:rFonts w:ascii="宋体" w:hAnsi="宋体" w:eastAsia="宋体"/>
          <w:sz w:val="24"/>
        </w:rPr>
        <w:t>个小时进行一次监测，也可根据实际情况进行周期调整，满足现场检测的需要</w:t>
      </w:r>
      <w:r>
        <w:rPr>
          <w:rFonts w:hint="eastAsia" w:ascii="宋体" w:hAnsi="宋体" w:eastAsia="宋体"/>
          <w:sz w:val="24"/>
        </w:rPr>
        <w:t>。</w:t>
      </w:r>
    </w:p>
    <w:p>
      <w:pPr>
        <w:spacing w:line="360" w:lineRule="auto"/>
        <w:rPr>
          <w:rFonts w:ascii="宋体" w:hAnsi="宋体" w:eastAsia="宋体"/>
          <w:sz w:val="24"/>
        </w:rPr>
      </w:pPr>
      <w:r>
        <w:rPr>
          <w:rFonts w:hint="eastAsia" w:ascii="宋体" w:hAnsi="宋体" w:eastAsia="宋体"/>
          <w:sz w:val="24"/>
        </w:rPr>
        <w:t>2.</w:t>
      </w:r>
      <w:r>
        <w:rPr>
          <w:rFonts w:ascii="宋体" w:hAnsi="宋体" w:eastAsia="宋体"/>
          <w:sz w:val="24"/>
        </w:rPr>
        <w:t>系统功率能耗较低，满足野外监测的需要</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3</w:t>
      </w:r>
      <w:r>
        <w:rPr>
          <w:rFonts w:hint="eastAsia" w:ascii="宋体" w:hAnsi="宋体" w:eastAsia="宋体"/>
          <w:sz w:val="24"/>
        </w:rPr>
        <w:t>.</w:t>
      </w:r>
      <w:r>
        <w:rPr>
          <w:rFonts w:ascii="宋体" w:hAnsi="宋体" w:eastAsia="宋体"/>
          <w:sz w:val="24"/>
        </w:rPr>
        <w:t>监控现场能够对数据采集和控制单元的参数进行设置</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4</w:t>
      </w:r>
      <w:r>
        <w:rPr>
          <w:rFonts w:hint="eastAsia" w:ascii="宋体" w:hAnsi="宋体" w:eastAsia="宋体"/>
          <w:sz w:val="24"/>
        </w:rPr>
        <w:t>.</w:t>
      </w:r>
      <w:r>
        <w:rPr>
          <w:rFonts w:ascii="宋体" w:hAnsi="宋体" w:eastAsia="宋体"/>
          <w:sz w:val="24"/>
        </w:rPr>
        <w:t>可设置系统的采样周期（2-24次/天），可调节连续、间歇或紧急取样等多种方式</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5</w:t>
      </w:r>
      <w:r>
        <w:rPr>
          <w:rFonts w:hint="eastAsia" w:ascii="宋体" w:hAnsi="宋体" w:eastAsia="宋体"/>
          <w:sz w:val="24"/>
        </w:rPr>
        <w:t>.</w:t>
      </w:r>
      <w:r>
        <w:rPr>
          <w:rFonts w:ascii="宋体" w:hAnsi="宋体" w:eastAsia="宋体"/>
          <w:sz w:val="24"/>
        </w:rPr>
        <w:t>各单元设备工作状态参数的显示</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6</w:t>
      </w:r>
      <w:r>
        <w:rPr>
          <w:rFonts w:hint="eastAsia" w:ascii="宋体" w:hAnsi="宋体" w:eastAsia="宋体"/>
          <w:sz w:val="24"/>
        </w:rPr>
        <w:t>.</w:t>
      </w:r>
      <w:r>
        <w:rPr>
          <w:rFonts w:ascii="宋体" w:hAnsi="宋体" w:eastAsia="宋体"/>
          <w:sz w:val="24"/>
        </w:rPr>
        <w:t>系统与仪器可进行时间同步，确保中心站软件、子站控制系统时间一致。实时显示各仪器的状态、当前监测值等</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7</w:t>
      </w:r>
      <w:r>
        <w:rPr>
          <w:rFonts w:hint="eastAsia" w:ascii="宋体" w:hAnsi="宋体" w:eastAsia="宋体"/>
          <w:sz w:val="24"/>
        </w:rPr>
        <w:t>.</w:t>
      </w:r>
      <w:r>
        <w:rPr>
          <w:rFonts w:ascii="宋体" w:hAnsi="宋体" w:eastAsia="宋体"/>
          <w:sz w:val="24"/>
        </w:rPr>
        <w:t>系统的自动启动和自动恢复功能</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8</w:t>
      </w:r>
      <w:r>
        <w:rPr>
          <w:rFonts w:hint="eastAsia" w:ascii="宋体" w:hAnsi="宋体" w:eastAsia="宋体"/>
          <w:sz w:val="24"/>
        </w:rPr>
        <w:t>.</w:t>
      </w:r>
      <w:r>
        <w:rPr>
          <w:rFonts w:ascii="宋体" w:hAnsi="宋体" w:eastAsia="宋体"/>
          <w:sz w:val="24"/>
        </w:rPr>
        <w:t>对系统自动清洗、实时通讯、数据处理等功能和各单元设备控制参数的远程控制</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9</w:t>
      </w:r>
      <w:r>
        <w:rPr>
          <w:rFonts w:hint="eastAsia" w:ascii="宋体" w:hAnsi="宋体" w:eastAsia="宋体"/>
          <w:sz w:val="24"/>
        </w:rPr>
        <w:t>.</w:t>
      </w:r>
      <w:r>
        <w:rPr>
          <w:rFonts w:ascii="宋体" w:hAnsi="宋体" w:eastAsia="宋体"/>
          <w:sz w:val="24"/>
        </w:rPr>
        <w:t>数据自动采集、处理及传输，可到数据库中下载实时或历史数据</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10</w:t>
      </w:r>
      <w:r>
        <w:rPr>
          <w:rFonts w:hint="eastAsia" w:ascii="宋体" w:hAnsi="宋体" w:eastAsia="宋体"/>
          <w:sz w:val="24"/>
        </w:rPr>
        <w:t>.</w:t>
      </w:r>
      <w:r>
        <w:rPr>
          <w:rFonts w:ascii="宋体" w:hAnsi="宋体" w:eastAsia="宋体"/>
          <w:sz w:val="24"/>
        </w:rPr>
        <w:t>系统设置具有开放性，可根据需要自行设置有关参数，系统具有良好的扩展性</w:t>
      </w:r>
      <w:r>
        <w:rPr>
          <w:rFonts w:hint="eastAsia" w:ascii="宋体" w:hAnsi="宋体" w:eastAsia="宋体"/>
          <w:sz w:val="24"/>
        </w:rPr>
        <w:t>。</w:t>
      </w:r>
    </w:p>
    <w:p>
      <w:pPr>
        <w:spacing w:line="360" w:lineRule="auto"/>
        <w:outlineLvl w:val="2"/>
        <w:rPr>
          <w:rFonts w:ascii="宋体" w:hAnsi="宋体" w:eastAsia="宋体"/>
          <w:b/>
          <w:sz w:val="30"/>
          <w:szCs w:val="30"/>
        </w:rPr>
      </w:pPr>
      <w:r>
        <w:rPr>
          <w:rFonts w:hint="eastAsia" w:ascii="宋体" w:hAnsi="宋体" w:eastAsia="宋体"/>
          <w:b/>
          <w:sz w:val="30"/>
          <w:szCs w:val="30"/>
        </w:rPr>
        <w:t>六</w:t>
      </w:r>
      <w:r>
        <w:rPr>
          <w:rFonts w:ascii="宋体" w:hAnsi="宋体" w:eastAsia="宋体"/>
          <w:b/>
          <w:sz w:val="30"/>
          <w:szCs w:val="30"/>
        </w:rPr>
        <w:t>、</w:t>
      </w:r>
      <w:r>
        <w:rPr>
          <w:rFonts w:hint="eastAsia" w:ascii="宋体" w:hAnsi="宋体" w:eastAsia="宋体"/>
          <w:b/>
          <w:sz w:val="30"/>
          <w:szCs w:val="30"/>
        </w:rPr>
        <w:t>项目系统</w:t>
      </w:r>
      <w:r>
        <w:rPr>
          <w:rFonts w:ascii="宋体" w:hAnsi="宋体" w:eastAsia="宋体"/>
          <w:b/>
          <w:sz w:val="30"/>
          <w:szCs w:val="30"/>
        </w:rPr>
        <w:t>质量保证</w:t>
      </w:r>
    </w:p>
    <w:p>
      <w:pPr>
        <w:spacing w:line="360" w:lineRule="auto"/>
        <w:outlineLvl w:val="3"/>
        <w:rPr>
          <w:rFonts w:ascii="宋体" w:hAnsi="宋体" w:eastAsia="宋体"/>
          <w:b/>
          <w:sz w:val="28"/>
          <w:szCs w:val="28"/>
        </w:rPr>
      </w:pPr>
      <w:r>
        <w:rPr>
          <w:rFonts w:ascii="宋体" w:hAnsi="宋体" w:eastAsia="宋体"/>
          <w:b/>
          <w:sz w:val="28"/>
          <w:szCs w:val="28"/>
        </w:rPr>
        <w:t>（一）</w:t>
      </w:r>
      <w:r>
        <w:rPr>
          <w:rFonts w:hint="eastAsia" w:ascii="宋体" w:hAnsi="宋体" w:eastAsia="宋体"/>
          <w:b/>
          <w:sz w:val="28"/>
          <w:szCs w:val="28"/>
        </w:rPr>
        <w:t>柜式站房、设备和系统集成安装</w:t>
      </w:r>
      <w:r>
        <w:rPr>
          <w:rFonts w:ascii="宋体" w:hAnsi="宋体" w:eastAsia="宋体"/>
          <w:b/>
          <w:sz w:val="28"/>
          <w:szCs w:val="28"/>
        </w:rPr>
        <w:t>的质量保证</w:t>
      </w:r>
    </w:p>
    <w:p>
      <w:pPr>
        <w:tabs>
          <w:tab w:val="left" w:pos="840"/>
        </w:tabs>
        <w:spacing w:line="360" w:lineRule="auto"/>
        <w:rPr>
          <w:rFonts w:ascii="宋体" w:hAnsi="宋体" w:eastAsia="宋体"/>
          <w:b/>
          <w:sz w:val="24"/>
        </w:rPr>
      </w:pPr>
      <w:r>
        <w:rPr>
          <w:rFonts w:hint="eastAsia" w:ascii="宋体" w:hAnsi="宋体" w:eastAsia="宋体"/>
          <w:b/>
          <w:sz w:val="24"/>
        </w:rPr>
        <w:t>1.柜式站房</w:t>
      </w:r>
    </w:p>
    <w:p>
      <w:pPr>
        <w:tabs>
          <w:tab w:val="left" w:pos="840"/>
        </w:tabs>
        <w:spacing w:line="360" w:lineRule="auto"/>
        <w:ind w:firstLine="480" w:firstLineChars="200"/>
        <w:rPr>
          <w:rFonts w:ascii="宋体" w:hAnsi="宋体" w:eastAsia="宋体"/>
          <w:sz w:val="24"/>
        </w:rPr>
      </w:pPr>
      <w:r>
        <w:rPr>
          <w:rFonts w:hint="eastAsia" w:ascii="宋体" w:hAnsi="宋体" w:eastAsia="宋体"/>
          <w:sz w:val="24"/>
        </w:rPr>
        <w:t>按照技术要求建设一体化户外机，配置相应的</w:t>
      </w:r>
      <w:r>
        <w:rPr>
          <w:rFonts w:ascii="宋体" w:hAnsi="宋体" w:eastAsia="宋体"/>
          <w:sz w:val="24"/>
        </w:rPr>
        <w:t>辅助设备及系统安全保障设施</w:t>
      </w:r>
      <w:r>
        <w:rPr>
          <w:rFonts w:hint="eastAsia" w:ascii="宋体" w:hAnsi="宋体" w:eastAsia="宋体"/>
          <w:sz w:val="24"/>
        </w:rPr>
        <w:t>。</w:t>
      </w:r>
    </w:p>
    <w:p>
      <w:pPr>
        <w:tabs>
          <w:tab w:val="left" w:pos="840"/>
        </w:tabs>
        <w:spacing w:line="360" w:lineRule="auto"/>
        <w:rPr>
          <w:rFonts w:ascii="宋体" w:hAnsi="宋体" w:eastAsia="宋体"/>
          <w:b/>
          <w:sz w:val="24"/>
        </w:rPr>
      </w:pPr>
      <w:r>
        <w:rPr>
          <w:rFonts w:hint="eastAsia" w:ascii="宋体" w:hAnsi="宋体" w:eastAsia="宋体"/>
          <w:b/>
          <w:sz w:val="24"/>
        </w:rPr>
        <w:t>2.</w:t>
      </w:r>
      <w:r>
        <w:rPr>
          <w:rFonts w:hint="eastAsia" w:ascii="宋体" w:hAnsi="宋体" w:eastAsia="宋体"/>
          <w:b/>
          <w:bCs/>
          <w:sz w:val="24"/>
        </w:rPr>
        <w:t>设备和系统集成安装</w:t>
      </w:r>
      <w:r>
        <w:rPr>
          <w:rFonts w:ascii="宋体" w:hAnsi="宋体" w:eastAsia="宋体"/>
          <w:b/>
          <w:bCs/>
          <w:sz w:val="24"/>
        </w:rPr>
        <w:t>的质量保证</w:t>
      </w:r>
    </w:p>
    <w:p>
      <w:pPr>
        <w:tabs>
          <w:tab w:val="left" w:pos="840"/>
        </w:tabs>
        <w:spacing w:line="360" w:lineRule="auto"/>
        <w:ind w:firstLine="480" w:firstLineChars="200"/>
        <w:rPr>
          <w:rFonts w:ascii="宋体" w:hAnsi="宋体" w:eastAsia="宋体"/>
          <w:sz w:val="24"/>
        </w:rPr>
      </w:pPr>
      <w:r>
        <w:rPr>
          <w:rFonts w:ascii="宋体" w:hAnsi="宋体" w:eastAsia="宋体"/>
          <w:sz w:val="24"/>
        </w:rPr>
        <w:t>为确保</w:t>
      </w:r>
      <w:r>
        <w:rPr>
          <w:rFonts w:hint="eastAsia" w:ascii="宋体" w:hAnsi="宋体" w:eastAsia="宋体"/>
          <w:sz w:val="24"/>
        </w:rPr>
        <w:t>设备和系统集成</w:t>
      </w:r>
      <w:r>
        <w:rPr>
          <w:rFonts w:ascii="宋体" w:hAnsi="宋体" w:eastAsia="宋体"/>
          <w:sz w:val="24"/>
        </w:rPr>
        <w:t>高质量</w:t>
      </w:r>
      <w:r>
        <w:rPr>
          <w:rFonts w:hint="eastAsia" w:ascii="宋体" w:hAnsi="宋体" w:eastAsia="宋体"/>
          <w:sz w:val="24"/>
        </w:rPr>
        <w:t>安装</w:t>
      </w:r>
      <w:r>
        <w:rPr>
          <w:rFonts w:ascii="宋体" w:hAnsi="宋体" w:eastAsia="宋体"/>
          <w:sz w:val="24"/>
        </w:rPr>
        <w:t>，投标人应制定有关</w:t>
      </w:r>
      <w:r>
        <w:rPr>
          <w:rFonts w:hint="eastAsia" w:ascii="宋体" w:hAnsi="宋体" w:eastAsia="宋体"/>
          <w:sz w:val="24"/>
        </w:rPr>
        <w:t>安装</w:t>
      </w:r>
      <w:r>
        <w:rPr>
          <w:rFonts w:ascii="宋体" w:hAnsi="宋体" w:eastAsia="宋体"/>
          <w:sz w:val="24"/>
        </w:rPr>
        <w:t>期间的质量保证计划，包括系统设计与施工规范化管理、仪器设备质量保证、技术人员资质及管理等。投标人必须提供详细的项目管理组织构架、职员姓名、职务、职称，主要资历、经验及承担过的主要项目情况。</w:t>
      </w:r>
    </w:p>
    <w:p>
      <w:pPr>
        <w:spacing w:line="360" w:lineRule="auto"/>
        <w:outlineLvl w:val="3"/>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二</w:t>
      </w:r>
      <w:r>
        <w:rPr>
          <w:rFonts w:ascii="宋体" w:hAnsi="宋体" w:eastAsia="宋体"/>
          <w:b/>
          <w:sz w:val="28"/>
          <w:szCs w:val="28"/>
        </w:rPr>
        <w:t>）供货及投入正常运转的时限要求</w:t>
      </w:r>
    </w:p>
    <w:p>
      <w:pPr>
        <w:spacing w:line="360" w:lineRule="auto"/>
        <w:ind w:firstLine="480" w:firstLineChars="200"/>
        <w:rPr>
          <w:rFonts w:ascii="宋体" w:hAnsi="宋体" w:eastAsia="宋体"/>
          <w:sz w:val="24"/>
        </w:rPr>
      </w:pPr>
      <w:r>
        <w:rPr>
          <w:rFonts w:ascii="宋体" w:hAnsi="宋体" w:eastAsia="宋体"/>
          <w:sz w:val="24"/>
        </w:rPr>
        <w:t>合同签订后</w:t>
      </w:r>
      <w:r>
        <w:rPr>
          <w:rFonts w:hint="eastAsia" w:ascii="宋体" w:hAnsi="宋体" w:eastAsia="宋体"/>
          <w:sz w:val="24"/>
        </w:rPr>
        <w:t>60</w:t>
      </w:r>
      <w:r>
        <w:rPr>
          <w:rFonts w:ascii="宋体" w:hAnsi="宋体" w:eastAsia="宋体"/>
          <w:sz w:val="24"/>
        </w:rPr>
        <w:t>天内安装调试完毕</w:t>
      </w:r>
      <w:r>
        <w:rPr>
          <w:rFonts w:hint="eastAsia" w:ascii="宋体" w:hAnsi="宋体" w:eastAsia="宋体"/>
          <w:sz w:val="24"/>
        </w:rPr>
        <w:t>。设备安装</w:t>
      </w:r>
      <w:r>
        <w:rPr>
          <w:rFonts w:ascii="宋体" w:hAnsi="宋体" w:eastAsia="宋体"/>
          <w:sz w:val="24"/>
        </w:rPr>
        <w:t>调试</w:t>
      </w:r>
      <w:r>
        <w:rPr>
          <w:rFonts w:hint="eastAsia" w:ascii="宋体" w:hAnsi="宋体" w:eastAsia="宋体"/>
          <w:sz w:val="24"/>
        </w:rPr>
        <w:t>完毕后，中标商立即组织验收，投入正式运行。</w:t>
      </w:r>
    </w:p>
    <w:p>
      <w:pPr>
        <w:spacing w:line="360" w:lineRule="auto"/>
        <w:outlineLvl w:val="3"/>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三</w:t>
      </w:r>
      <w:r>
        <w:rPr>
          <w:rFonts w:ascii="宋体" w:hAnsi="宋体" w:eastAsia="宋体"/>
          <w:b/>
          <w:sz w:val="28"/>
          <w:szCs w:val="28"/>
        </w:rPr>
        <w:t>）验收办法</w:t>
      </w:r>
    </w:p>
    <w:p>
      <w:pPr>
        <w:spacing w:line="360" w:lineRule="auto"/>
        <w:ind w:firstLine="480" w:firstLineChars="200"/>
        <w:rPr>
          <w:rFonts w:ascii="宋体" w:hAnsi="宋体" w:eastAsia="宋体"/>
          <w:sz w:val="24"/>
        </w:rPr>
      </w:pPr>
      <w:r>
        <w:rPr>
          <w:rFonts w:hint="eastAsia" w:ascii="宋体" w:hAnsi="宋体" w:eastAsia="宋体"/>
          <w:sz w:val="24"/>
        </w:rPr>
        <w:t>系统验收由济南市生态环境局组织有关人员参照国家水站验收要求、国家《地表水水质自动监测站安装验收技术规范》（试行）、</w:t>
      </w:r>
      <w:r>
        <w:rPr>
          <w:rFonts w:ascii="宋体" w:hAnsi="宋体" w:eastAsia="宋体"/>
          <w:kern w:val="0"/>
          <w:sz w:val="24"/>
        </w:rPr>
        <w:t>《地表水自动监测技术规范》</w:t>
      </w:r>
      <w:r>
        <w:rPr>
          <w:rFonts w:hint="eastAsia" w:ascii="宋体" w:hAnsi="宋体" w:eastAsia="宋体"/>
          <w:sz w:val="24"/>
        </w:rPr>
        <w:t>（</w:t>
      </w:r>
      <w:r>
        <w:rPr>
          <w:rFonts w:ascii="宋体" w:hAnsi="宋体" w:eastAsia="宋体"/>
          <w:kern w:val="0"/>
          <w:sz w:val="24"/>
        </w:rPr>
        <w:t>HJ 915-2017</w:t>
      </w:r>
      <w:r>
        <w:rPr>
          <w:rFonts w:hint="eastAsia" w:ascii="宋体" w:hAnsi="宋体" w:eastAsia="宋体"/>
          <w:sz w:val="24"/>
        </w:rPr>
        <w:t>）、</w:t>
      </w:r>
      <w:r>
        <w:rPr>
          <w:rFonts w:ascii="宋体" w:hAnsi="宋体" w:eastAsia="宋体"/>
          <w:sz w:val="24"/>
        </w:rPr>
        <w:t>本技术要求及合同内容进行验收。</w:t>
      </w:r>
    </w:p>
    <w:p>
      <w:pPr>
        <w:spacing w:line="360" w:lineRule="auto"/>
        <w:ind w:firstLine="480" w:firstLineChars="200"/>
        <w:rPr>
          <w:rFonts w:ascii="宋体" w:hAnsi="宋体" w:eastAsia="宋体"/>
          <w:sz w:val="24"/>
        </w:rPr>
      </w:pPr>
      <w:r>
        <w:rPr>
          <w:rFonts w:hint="eastAsia" w:ascii="宋体" w:hAnsi="宋体" w:eastAsia="宋体"/>
          <w:sz w:val="24"/>
        </w:rPr>
        <w:t>站房和设备安装</w:t>
      </w:r>
      <w:r>
        <w:rPr>
          <w:rFonts w:ascii="宋体" w:hAnsi="宋体" w:eastAsia="宋体"/>
          <w:sz w:val="24"/>
        </w:rPr>
        <w:t>调试</w:t>
      </w:r>
      <w:r>
        <w:rPr>
          <w:rFonts w:hint="eastAsia" w:ascii="宋体" w:hAnsi="宋体" w:eastAsia="宋体"/>
          <w:sz w:val="24"/>
        </w:rPr>
        <w:t>完毕后，</w:t>
      </w:r>
      <w:r>
        <w:rPr>
          <w:rFonts w:ascii="宋体" w:hAnsi="宋体" w:eastAsia="宋体"/>
          <w:sz w:val="24"/>
        </w:rPr>
        <w:t>中标商</w:t>
      </w:r>
      <w:r>
        <w:rPr>
          <w:rFonts w:hint="eastAsia" w:ascii="宋体" w:hAnsi="宋体" w:eastAsia="宋体"/>
          <w:sz w:val="24"/>
        </w:rPr>
        <w:t>按照上述有关技术要求立即自行进行验收工作</w:t>
      </w:r>
      <w:r>
        <w:rPr>
          <w:rFonts w:ascii="宋体" w:hAnsi="宋体" w:eastAsia="宋体"/>
          <w:sz w:val="24"/>
        </w:rPr>
        <w:t>，</w:t>
      </w:r>
      <w:r>
        <w:rPr>
          <w:rFonts w:hint="eastAsia" w:ascii="宋体" w:hAnsi="宋体" w:eastAsia="宋体"/>
          <w:sz w:val="24"/>
        </w:rPr>
        <w:t>并出具有相关质量认可资质的验收报告。然后由</w:t>
      </w:r>
      <w:r>
        <w:rPr>
          <w:rFonts w:ascii="宋体" w:hAnsi="宋体" w:eastAsia="宋体"/>
          <w:sz w:val="24"/>
        </w:rPr>
        <w:t>济南市</w:t>
      </w:r>
      <w:r>
        <w:rPr>
          <w:rFonts w:hint="eastAsia" w:ascii="宋体" w:hAnsi="宋体" w:eastAsia="宋体"/>
          <w:sz w:val="24"/>
        </w:rPr>
        <w:t>生态环境</w:t>
      </w:r>
      <w:r>
        <w:rPr>
          <w:rFonts w:ascii="宋体" w:hAnsi="宋体" w:eastAsia="宋体"/>
          <w:sz w:val="24"/>
        </w:rPr>
        <w:t>局组织进行整体验收，相关费用由中标商承担。</w:t>
      </w:r>
    </w:p>
    <w:p>
      <w:pPr>
        <w:spacing w:line="360" w:lineRule="auto"/>
        <w:outlineLvl w:val="3"/>
        <w:rPr>
          <w:rFonts w:ascii="宋体" w:hAnsi="宋体" w:eastAsia="宋体"/>
          <w:b/>
          <w:sz w:val="24"/>
        </w:rPr>
      </w:pPr>
      <w:r>
        <w:rPr>
          <w:rFonts w:ascii="宋体" w:hAnsi="宋体" w:eastAsia="宋体"/>
          <w:b/>
          <w:sz w:val="24"/>
        </w:rPr>
        <w:t>（</w:t>
      </w:r>
      <w:r>
        <w:rPr>
          <w:rFonts w:hint="eastAsia" w:ascii="宋体" w:hAnsi="宋体" w:eastAsia="宋体"/>
          <w:b/>
          <w:sz w:val="24"/>
        </w:rPr>
        <w:t>四</w:t>
      </w:r>
      <w:r>
        <w:rPr>
          <w:rFonts w:ascii="宋体" w:hAnsi="宋体" w:eastAsia="宋体"/>
          <w:b/>
          <w:sz w:val="24"/>
        </w:rPr>
        <w:t>）服务与技术支持</w:t>
      </w:r>
    </w:p>
    <w:p>
      <w:pPr>
        <w:spacing w:line="360" w:lineRule="auto"/>
        <w:rPr>
          <w:rFonts w:ascii="宋体" w:hAnsi="宋体" w:eastAsia="宋体"/>
          <w:sz w:val="24"/>
        </w:rPr>
      </w:pPr>
      <w:r>
        <w:rPr>
          <w:rFonts w:ascii="宋体" w:hAnsi="宋体" w:eastAsia="宋体"/>
          <w:b/>
          <w:bCs/>
          <w:sz w:val="24"/>
        </w:rPr>
        <w:t>1.</w:t>
      </w:r>
      <w:r>
        <w:rPr>
          <w:rFonts w:hint="eastAsia" w:ascii="宋体" w:hAnsi="宋体" w:eastAsia="宋体"/>
          <w:sz w:val="24"/>
        </w:rPr>
        <w:t>中标商应在本地设置办事处，应配备至少2名中标水站运营人员、1辆运营车辆，</w:t>
      </w:r>
      <w:r>
        <w:rPr>
          <w:rFonts w:hint="eastAsia" w:ascii="宋体" w:hAnsi="宋体" w:eastAsia="宋体"/>
          <w:bCs/>
          <w:sz w:val="24"/>
        </w:rPr>
        <w:t>运营</w:t>
      </w:r>
      <w:r>
        <w:rPr>
          <w:rFonts w:hint="eastAsia" w:ascii="宋体" w:hAnsi="宋体" w:eastAsia="宋体" w:cs="宋体"/>
          <w:bCs/>
          <w:sz w:val="24"/>
        </w:rPr>
        <w:t>人员</w:t>
      </w:r>
      <w:r>
        <w:rPr>
          <w:rFonts w:hint="eastAsia" w:ascii="宋体" w:hAnsi="宋体" w:eastAsia="宋体" w:cs="宋体"/>
          <w:sz w:val="24"/>
        </w:rPr>
        <w:t>持</w:t>
      </w:r>
      <w:r>
        <w:rPr>
          <w:rFonts w:hint="eastAsia" w:ascii="宋体" w:hAnsi="宋体" w:eastAsia="宋体"/>
          <w:sz w:val="24"/>
        </w:rPr>
        <w:t>证上岗</w:t>
      </w:r>
      <w:r>
        <w:rPr>
          <w:rFonts w:hint="eastAsia" w:ascii="宋体" w:hAnsi="宋体" w:eastAsia="宋体"/>
          <w:bCs/>
          <w:sz w:val="24"/>
        </w:rPr>
        <w:t>，</w:t>
      </w:r>
      <w:r>
        <w:rPr>
          <w:rFonts w:hint="eastAsia" w:ascii="宋体" w:hAnsi="宋体" w:eastAsia="宋体"/>
          <w:sz w:val="24"/>
        </w:rPr>
        <w:t>保证水站正常运行。如济南市生态环境局有需要，则中标商提供</w:t>
      </w:r>
      <w:r>
        <w:rPr>
          <w:rFonts w:ascii="宋体" w:hAnsi="宋体" w:eastAsia="宋体"/>
          <w:sz w:val="24"/>
        </w:rPr>
        <w:t>1</w:t>
      </w:r>
      <w:r>
        <w:rPr>
          <w:rFonts w:hint="eastAsia" w:ascii="宋体" w:hAnsi="宋体" w:eastAsia="宋体"/>
          <w:sz w:val="24"/>
        </w:rPr>
        <w:t>名技术人员常驻济南市生态环境局，负责水站数据的日常监控、分析质控等有关工作。</w:t>
      </w:r>
    </w:p>
    <w:p>
      <w:pPr>
        <w:autoSpaceDE w:val="0"/>
        <w:autoSpaceDN w:val="0"/>
        <w:spacing w:line="360" w:lineRule="auto"/>
        <w:rPr>
          <w:rFonts w:ascii="宋体" w:hAnsi="宋体" w:eastAsia="宋体"/>
          <w:sz w:val="24"/>
        </w:rPr>
      </w:pPr>
      <w:r>
        <w:rPr>
          <w:rFonts w:ascii="宋体" w:hAnsi="宋体" w:eastAsia="宋体"/>
          <w:sz w:val="24"/>
        </w:rPr>
        <w:t>2.</w:t>
      </w:r>
      <w:r>
        <w:rPr>
          <w:rFonts w:hint="eastAsia" w:ascii="宋体" w:hAnsi="宋体" w:eastAsia="宋体"/>
          <w:sz w:val="24"/>
        </w:rPr>
        <w:t>运营服务内容包括系统日常维护、保养、设备易损易耗品和零部件的购买更换、试剂配置、采水设施、供水管路、供电线路的维护，站房防雷检测、站房安全、数据传输以及站房水、电费支出等的相关费用，运营服务参照《地表水自动监测技术规范》（</w:t>
      </w:r>
      <w:r>
        <w:rPr>
          <w:rFonts w:ascii="宋体" w:hAnsi="宋体" w:eastAsia="宋体"/>
          <w:sz w:val="24"/>
        </w:rPr>
        <w:t>HJ 915-2017</w:t>
      </w:r>
      <w:r>
        <w:rPr>
          <w:rFonts w:hint="eastAsia" w:ascii="宋体" w:hAnsi="宋体" w:eastAsia="宋体"/>
          <w:sz w:val="24"/>
        </w:rPr>
        <w:t>）、国家《地表水水质自动监测站运行维护技术规范》（试行）、《国家地表水环境质量自动监测站运行管理办法》（2017年4月）等相关要求执行，编制详细的运营记录表。中标商需保证</w:t>
      </w:r>
      <w:r>
        <w:rPr>
          <w:rFonts w:ascii="宋体" w:hAnsi="宋体" w:eastAsia="宋体"/>
          <w:sz w:val="24"/>
        </w:rPr>
        <w:t>10</w:t>
      </w:r>
      <w:r>
        <w:rPr>
          <w:rFonts w:hint="eastAsia" w:ascii="宋体" w:hAnsi="宋体" w:eastAsia="宋体"/>
          <w:sz w:val="24"/>
        </w:rPr>
        <w:t>年内的耗材及备品备件的正常供应。</w:t>
      </w:r>
    </w:p>
    <w:p>
      <w:pPr>
        <w:autoSpaceDE w:val="0"/>
        <w:autoSpaceDN w:val="0"/>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）运营商对自动监测设备提供数据的真实性、准确性、可靠性和连续性负责；确保设备运行率达到</w:t>
      </w:r>
      <w:r>
        <w:rPr>
          <w:rFonts w:ascii="宋体" w:hAnsi="宋体" w:eastAsia="宋体"/>
          <w:sz w:val="24"/>
        </w:rPr>
        <w:t>90%</w:t>
      </w:r>
      <w:r>
        <w:rPr>
          <w:rFonts w:hint="eastAsia" w:ascii="宋体" w:hAnsi="宋体" w:eastAsia="宋体"/>
          <w:sz w:val="24"/>
        </w:rPr>
        <w:t>以上，数据准确率达到8</w:t>
      </w:r>
      <w:r>
        <w:rPr>
          <w:rFonts w:ascii="宋体" w:hAnsi="宋体" w:eastAsia="宋体"/>
          <w:sz w:val="24"/>
        </w:rPr>
        <w:t>0%</w:t>
      </w:r>
      <w:r>
        <w:rPr>
          <w:rFonts w:hint="eastAsia" w:ascii="宋体" w:hAnsi="宋体" w:eastAsia="宋体"/>
          <w:sz w:val="24"/>
        </w:rPr>
        <w:t>以上。</w:t>
      </w:r>
    </w:p>
    <w:p>
      <w:pPr>
        <w:autoSpaceDE w:val="0"/>
        <w:autoSpaceDN w:val="0"/>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）每天至少三次通过运营监管软件远程查看水站运行数据和状态参数，每两周至少</w:t>
      </w:r>
      <w:r>
        <w:rPr>
          <w:rFonts w:ascii="宋体" w:hAnsi="宋体" w:eastAsia="宋体"/>
          <w:sz w:val="24"/>
        </w:rPr>
        <w:t>1</w:t>
      </w:r>
      <w:r>
        <w:rPr>
          <w:rFonts w:hint="eastAsia" w:ascii="宋体" w:hAnsi="宋体" w:eastAsia="宋体"/>
          <w:sz w:val="24"/>
        </w:rPr>
        <w:t>次现场巡检维护、用标准样品校准仪器并做好记录，每月至少进行一次仪器校准、实际水样比对试验，仪器校准和实际水样比对误差范围要符合本项目规定的技术要求。上述工作须进行详细记录，实际水样人工比对出具有资质的报告。</w:t>
      </w:r>
    </w:p>
    <w:p>
      <w:pPr>
        <w:autoSpaceDE w:val="0"/>
        <w:autoSpaceDN w:val="0"/>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）对自动监测设备运行情况及监测数据进行实时监控，发现异常现象，及时赶赴现场进行维护。对每日监测数据上传情况，设备运行状态，异常数据情况、仪器故障时间段及采取的相应措施进行记录。</w:t>
      </w:r>
    </w:p>
    <w:p>
      <w:pPr>
        <w:autoSpaceDE w:val="0"/>
        <w:autoSpaceDN w:val="0"/>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建立完善的规章制度、质量控制体系和自动监控设备运行档案，建立健全运营管理制度。主要包括：人员培训、操作规程、岗位责任、定期比对监测、定期校准维护记录、运行信息公开、设施故障预防和应急措施等制度。具有充足的日常运行、维护所需的各种耗材、备用整机或关键部件，对其使用情况进行定期清点，并根据实际需要进行增购，保证设备运行连续，数据准确。</w:t>
      </w:r>
    </w:p>
    <w:p>
      <w:pPr>
        <w:autoSpaceDE w:val="0"/>
        <w:autoSpaceDN w:val="0"/>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）设备出现故障必须及时在平台填报故障情况，并及时修复；中标商对出现的仪器故障应做到</w:t>
      </w:r>
      <w:r>
        <w:rPr>
          <w:rFonts w:ascii="宋体" w:hAnsi="宋体" w:eastAsia="宋体"/>
          <w:sz w:val="24"/>
        </w:rPr>
        <w:t>24</w:t>
      </w:r>
      <w:r>
        <w:rPr>
          <w:rFonts w:hint="eastAsia" w:ascii="宋体" w:hAnsi="宋体" w:eastAsia="宋体"/>
          <w:sz w:val="24"/>
        </w:rPr>
        <w:t>小时内解决出现的问题，如问题不能排除，在</w:t>
      </w:r>
      <w:r>
        <w:rPr>
          <w:rFonts w:ascii="宋体" w:hAnsi="宋体" w:eastAsia="宋体"/>
          <w:sz w:val="24"/>
        </w:rPr>
        <w:t>48</w:t>
      </w:r>
      <w:r>
        <w:rPr>
          <w:rFonts w:hint="eastAsia" w:ascii="宋体" w:hAnsi="宋体" w:eastAsia="宋体"/>
          <w:sz w:val="24"/>
        </w:rPr>
        <w:t>小时内无法修复的，应安装备机；设施不能正常运行期间，要采取人工采样分析的方式报送数据，每天不少于</w:t>
      </w:r>
      <w:r>
        <w:rPr>
          <w:rFonts w:ascii="宋体" w:hAnsi="宋体" w:eastAsia="宋体"/>
          <w:sz w:val="24"/>
        </w:rPr>
        <w:t>1</w:t>
      </w:r>
      <w:r>
        <w:rPr>
          <w:rFonts w:hint="eastAsia" w:ascii="宋体" w:hAnsi="宋体" w:eastAsia="宋体"/>
          <w:sz w:val="24"/>
        </w:rPr>
        <w:t>次。</w:t>
      </w:r>
    </w:p>
    <w:p>
      <w:pPr>
        <w:autoSpaceDE w:val="0"/>
        <w:autoSpaceDN w:val="0"/>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6</w:t>
      </w:r>
      <w:r>
        <w:rPr>
          <w:rFonts w:hint="eastAsia" w:ascii="宋体" w:hAnsi="宋体" w:eastAsia="宋体"/>
          <w:sz w:val="24"/>
        </w:rPr>
        <w:t>）对自动监控系统设备的安全和正常运转负责，未经济南市生态环境局允许，无关人员不得进入设备站房。</w:t>
      </w:r>
    </w:p>
    <w:p>
      <w:pPr>
        <w:autoSpaceDE w:val="0"/>
        <w:autoSpaceDN w:val="0"/>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7</w:t>
      </w:r>
      <w:r>
        <w:rPr>
          <w:rFonts w:hint="eastAsia" w:ascii="宋体" w:hAnsi="宋体" w:eastAsia="宋体"/>
          <w:sz w:val="24"/>
        </w:rPr>
        <w:t>）所有监测数据（包括比对数据）归济南市生态环境局所有，中标单位应承担监测数据的保密责任，未经济南市环保部门同意，不得利用本项目的数据、档案或有关资料对外开展技术交流、业务联系、数据交换、发表论文、申报项目等。</w:t>
      </w:r>
    </w:p>
    <w:p>
      <w:pPr>
        <w:autoSpaceDE w:val="0"/>
        <w:autoSpaceDN w:val="0"/>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8</w:t>
      </w:r>
      <w:r>
        <w:rPr>
          <w:rFonts w:hint="eastAsia" w:ascii="宋体" w:hAnsi="宋体" w:eastAsia="宋体"/>
          <w:sz w:val="24"/>
        </w:rPr>
        <w:t>）每年由有资质的单位对系统做一次防雷检测，提供系统和仪表整体的防雷检测报告。</w:t>
      </w:r>
    </w:p>
    <w:p>
      <w:pPr>
        <w:autoSpaceDE w:val="0"/>
        <w:autoSpaceDN w:val="0"/>
        <w:spacing w:line="360" w:lineRule="auto"/>
        <w:rPr>
          <w:rFonts w:ascii="宋体" w:hAnsi="宋体" w:eastAsia="宋体"/>
          <w:sz w:val="24"/>
        </w:rPr>
      </w:pPr>
      <w:r>
        <w:rPr>
          <w:rFonts w:hint="eastAsia" w:ascii="宋体" w:hAnsi="宋体" w:eastAsia="宋体"/>
          <w:sz w:val="24"/>
        </w:rPr>
        <w:t>（9）</w:t>
      </w:r>
      <w:r>
        <w:rPr>
          <w:rFonts w:ascii="宋体" w:hAnsi="宋体" w:eastAsia="宋体"/>
          <w:sz w:val="24"/>
        </w:rPr>
        <w:t>全程序全过程留痕，所有</w:t>
      </w:r>
      <w:r>
        <w:rPr>
          <w:rFonts w:hint="eastAsia" w:ascii="宋体" w:hAnsi="宋体" w:eastAsia="宋体"/>
          <w:sz w:val="24"/>
        </w:rPr>
        <w:t>运营工作</w:t>
      </w:r>
      <w:r>
        <w:rPr>
          <w:rFonts w:ascii="宋体" w:hAnsi="宋体" w:eastAsia="宋体"/>
          <w:sz w:val="24"/>
        </w:rPr>
        <w:t>均需形成记录。</w:t>
      </w:r>
    </w:p>
    <w:p>
      <w:pPr>
        <w:spacing w:line="360" w:lineRule="auto"/>
        <w:outlineLvl w:val="3"/>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五</w:t>
      </w:r>
      <w:r>
        <w:rPr>
          <w:rFonts w:ascii="宋体" w:hAnsi="宋体" w:eastAsia="宋体"/>
          <w:b/>
          <w:sz w:val="28"/>
          <w:szCs w:val="28"/>
        </w:rPr>
        <w:t>）其它要求</w:t>
      </w:r>
    </w:p>
    <w:p>
      <w:pPr>
        <w:pStyle w:val="67"/>
        <w:adjustRightInd/>
        <w:spacing w:line="360" w:lineRule="auto"/>
        <w:ind w:firstLine="0"/>
        <w:rPr>
          <w:rFonts w:ascii="宋体" w:hAnsi="宋体"/>
          <w:color w:val="auto"/>
          <w:sz w:val="24"/>
          <w:szCs w:val="24"/>
        </w:rPr>
      </w:pPr>
      <w:r>
        <w:rPr>
          <w:rFonts w:ascii="宋体" w:hAnsi="宋体"/>
          <w:b/>
          <w:bCs/>
          <w:color w:val="auto"/>
          <w:sz w:val="24"/>
          <w:szCs w:val="24"/>
        </w:rPr>
        <w:t>1</w:t>
      </w:r>
      <w:r>
        <w:rPr>
          <w:rFonts w:hint="eastAsia" w:ascii="宋体" w:hAnsi="宋体"/>
          <w:b/>
          <w:bCs/>
          <w:color w:val="auto"/>
          <w:sz w:val="24"/>
          <w:szCs w:val="24"/>
        </w:rPr>
        <w:t>.</w:t>
      </w:r>
      <w:r>
        <w:rPr>
          <w:rFonts w:ascii="宋体" w:hAnsi="宋体"/>
          <w:b/>
          <w:bCs/>
          <w:color w:val="auto"/>
          <w:sz w:val="24"/>
          <w:szCs w:val="24"/>
        </w:rPr>
        <w:t>系统的完整性</w:t>
      </w:r>
      <w:r>
        <w:rPr>
          <w:rFonts w:ascii="宋体" w:hAnsi="宋体"/>
          <w:color w:val="auto"/>
          <w:sz w:val="24"/>
          <w:szCs w:val="24"/>
        </w:rPr>
        <w:t>：</w:t>
      </w:r>
    </w:p>
    <w:p>
      <w:pPr>
        <w:spacing w:line="360" w:lineRule="auto"/>
        <w:ind w:firstLine="480" w:firstLineChars="200"/>
        <w:rPr>
          <w:rFonts w:ascii="宋体" w:hAnsi="宋体" w:eastAsia="宋体"/>
          <w:sz w:val="24"/>
        </w:rPr>
      </w:pPr>
      <w:r>
        <w:rPr>
          <w:rFonts w:ascii="宋体" w:hAnsi="宋体" w:eastAsia="宋体"/>
          <w:sz w:val="24"/>
        </w:rPr>
        <w:t>投标人提供的整套设备应能构成一个完整的系统并按技术要求连续运行。需要采购人自行解决的设备、附件应在投标文件中列出，否则系统正常运行所缺的设备及附件，均视为免费及时提供。</w:t>
      </w:r>
    </w:p>
    <w:p>
      <w:pPr>
        <w:pStyle w:val="66"/>
        <w:spacing w:after="0" w:line="360" w:lineRule="auto"/>
        <w:rPr>
          <w:rFonts w:ascii="宋体" w:hAnsi="宋体"/>
          <w:sz w:val="24"/>
          <w:szCs w:val="24"/>
        </w:rPr>
      </w:pPr>
      <w:r>
        <w:rPr>
          <w:rFonts w:ascii="宋体" w:hAnsi="宋体"/>
          <w:b/>
          <w:bCs/>
          <w:sz w:val="24"/>
          <w:szCs w:val="24"/>
        </w:rPr>
        <w:t>2</w:t>
      </w:r>
      <w:r>
        <w:rPr>
          <w:rFonts w:hint="eastAsia" w:ascii="宋体" w:hAnsi="宋体"/>
          <w:b/>
          <w:bCs/>
          <w:sz w:val="24"/>
          <w:szCs w:val="24"/>
        </w:rPr>
        <w:t>.</w:t>
      </w:r>
      <w:r>
        <w:rPr>
          <w:rFonts w:ascii="宋体" w:hAnsi="宋体"/>
          <w:b/>
          <w:bCs/>
          <w:sz w:val="24"/>
          <w:szCs w:val="24"/>
        </w:rPr>
        <w:t>提供的设备要求</w:t>
      </w:r>
      <w:r>
        <w:rPr>
          <w:rFonts w:ascii="宋体" w:hAnsi="宋体"/>
          <w:sz w:val="24"/>
          <w:szCs w:val="24"/>
        </w:rPr>
        <w:t>：</w:t>
      </w:r>
    </w:p>
    <w:p>
      <w:pPr>
        <w:pStyle w:val="66"/>
        <w:spacing w:after="0" w:line="360" w:lineRule="auto"/>
        <w:rPr>
          <w:rFonts w:ascii="宋体" w:hAnsi="宋体"/>
          <w:sz w:val="24"/>
          <w:szCs w:val="24"/>
        </w:rPr>
      </w:pPr>
      <w:r>
        <w:rPr>
          <w:rFonts w:hint="eastAsia" w:ascii="宋体" w:hAnsi="宋体"/>
          <w:sz w:val="24"/>
          <w:szCs w:val="24"/>
        </w:rPr>
        <w:t>（1）</w:t>
      </w:r>
      <w:r>
        <w:rPr>
          <w:rFonts w:ascii="宋体" w:hAnsi="宋体"/>
          <w:sz w:val="24"/>
          <w:szCs w:val="24"/>
        </w:rPr>
        <w:t>投标人所投设备货物的技术参数不得低于本项目的技术要求和档次。</w:t>
      </w:r>
    </w:p>
    <w:p>
      <w:pPr>
        <w:pStyle w:val="66"/>
        <w:spacing w:after="0" w:line="360" w:lineRule="auto"/>
        <w:rPr>
          <w:rFonts w:ascii="宋体" w:hAnsi="宋体"/>
          <w:b/>
          <w:bCs/>
          <w:sz w:val="24"/>
          <w:szCs w:val="24"/>
        </w:rPr>
      </w:pPr>
      <w:r>
        <w:rPr>
          <w:rFonts w:hint="eastAsia" w:ascii="宋体" w:hAnsi="宋体"/>
          <w:sz w:val="24"/>
          <w:szCs w:val="24"/>
        </w:rPr>
        <w:t>（2）</w:t>
      </w:r>
      <w:r>
        <w:rPr>
          <w:rFonts w:ascii="宋体" w:hAnsi="宋体"/>
          <w:sz w:val="24"/>
          <w:szCs w:val="24"/>
        </w:rPr>
        <w:t>投标人提供的整套设备各组成部分必须是完整的、全新的、功能全的单元，并且必须是全新、符合国家质量检测标准的（附检测报告复印件），符合《招标货物一览表》中的规格型号及配置要求的货物(包括零部件)，所有的原材料必须无任何缺陷。所有的设备和安装要符合国家有关的行业标准。</w:t>
      </w:r>
    </w:p>
    <w:p>
      <w:pPr>
        <w:pStyle w:val="66"/>
        <w:spacing w:after="0" w:line="360" w:lineRule="auto"/>
        <w:rPr>
          <w:rFonts w:ascii="宋体" w:hAnsi="宋体"/>
          <w:sz w:val="24"/>
          <w:szCs w:val="24"/>
        </w:rPr>
      </w:pPr>
      <w:r>
        <w:rPr>
          <w:rFonts w:hint="eastAsia" w:ascii="宋体" w:hAnsi="宋体"/>
          <w:sz w:val="24"/>
          <w:szCs w:val="24"/>
        </w:rPr>
        <w:t>（3）</w:t>
      </w:r>
      <w:r>
        <w:rPr>
          <w:rFonts w:ascii="宋体" w:hAnsi="宋体"/>
          <w:sz w:val="24"/>
          <w:szCs w:val="24"/>
        </w:rPr>
        <w:t>所提供的货物应具有出厂检验合格证，不得是长期积压产品。</w:t>
      </w:r>
    </w:p>
    <w:p>
      <w:pPr>
        <w:pStyle w:val="66"/>
        <w:spacing w:after="0" w:line="360" w:lineRule="auto"/>
        <w:rPr>
          <w:rFonts w:ascii="宋体" w:hAnsi="宋体"/>
          <w:sz w:val="24"/>
          <w:szCs w:val="24"/>
        </w:rPr>
      </w:pPr>
      <w:r>
        <w:rPr>
          <w:rFonts w:hint="eastAsia" w:ascii="宋体" w:hAnsi="宋体"/>
          <w:sz w:val="24"/>
          <w:szCs w:val="24"/>
        </w:rPr>
        <w:t>（4）</w:t>
      </w:r>
      <w:r>
        <w:rPr>
          <w:rFonts w:ascii="宋体" w:hAnsi="宋体"/>
          <w:sz w:val="24"/>
          <w:szCs w:val="24"/>
        </w:rPr>
        <w:t>投标人应在投标文件中列出国内代理商及维修服务网点的地址、邮编、电话、传真及联系人。</w:t>
      </w:r>
    </w:p>
    <w:p>
      <w:pPr>
        <w:pStyle w:val="66"/>
        <w:spacing w:after="0" w:line="360" w:lineRule="auto"/>
        <w:rPr>
          <w:rFonts w:ascii="宋体" w:hAnsi="宋体"/>
          <w:b/>
          <w:bCs/>
          <w:sz w:val="24"/>
          <w:szCs w:val="24"/>
        </w:rPr>
      </w:pPr>
      <w:r>
        <w:rPr>
          <w:rFonts w:ascii="宋体" w:hAnsi="宋体"/>
          <w:b/>
          <w:bCs/>
          <w:sz w:val="24"/>
          <w:szCs w:val="24"/>
        </w:rPr>
        <w:t>3</w:t>
      </w:r>
      <w:r>
        <w:rPr>
          <w:rFonts w:hint="eastAsia" w:ascii="宋体" w:hAnsi="宋体"/>
          <w:b/>
          <w:bCs/>
          <w:sz w:val="24"/>
          <w:szCs w:val="24"/>
        </w:rPr>
        <w:t>.</w:t>
      </w:r>
      <w:r>
        <w:rPr>
          <w:rFonts w:ascii="宋体" w:hAnsi="宋体"/>
          <w:b/>
          <w:bCs/>
          <w:sz w:val="24"/>
          <w:szCs w:val="24"/>
        </w:rPr>
        <w:t>提供技术文件要求：</w:t>
      </w:r>
    </w:p>
    <w:p>
      <w:pPr>
        <w:pStyle w:val="66"/>
        <w:spacing w:after="0" w:line="360" w:lineRule="auto"/>
        <w:rPr>
          <w:rFonts w:ascii="宋体" w:hAnsi="宋体"/>
          <w:sz w:val="24"/>
          <w:szCs w:val="24"/>
        </w:rPr>
      </w:pPr>
      <w:r>
        <w:rPr>
          <w:rFonts w:hint="eastAsia" w:ascii="宋体" w:hAnsi="宋体"/>
          <w:sz w:val="24"/>
          <w:szCs w:val="24"/>
        </w:rPr>
        <w:t>（1）</w:t>
      </w:r>
      <w:r>
        <w:rPr>
          <w:rFonts w:ascii="宋体" w:hAnsi="宋体"/>
          <w:sz w:val="24"/>
          <w:szCs w:val="24"/>
        </w:rPr>
        <w:t>投标商如果中标，其所提供的技术文件应与货物相对应一致，并尽可能完整清晰。技术文件应为原件。合同技术文件应与每批货物共同包装送交，费用应包含于货物的基础报价中。</w:t>
      </w:r>
    </w:p>
    <w:p>
      <w:pPr>
        <w:pStyle w:val="66"/>
        <w:spacing w:after="0" w:line="360" w:lineRule="auto"/>
        <w:rPr>
          <w:rFonts w:ascii="宋体" w:hAnsi="宋体"/>
          <w:sz w:val="24"/>
          <w:szCs w:val="24"/>
        </w:rPr>
      </w:pPr>
      <w:r>
        <w:rPr>
          <w:rFonts w:hint="eastAsia" w:ascii="宋体" w:hAnsi="宋体"/>
          <w:sz w:val="24"/>
          <w:szCs w:val="24"/>
        </w:rPr>
        <w:t>（2）</w:t>
      </w:r>
      <w:r>
        <w:rPr>
          <w:rFonts w:ascii="宋体" w:hAnsi="宋体"/>
          <w:sz w:val="24"/>
          <w:szCs w:val="24"/>
        </w:rPr>
        <w:t>国外货物的技术文件应为中英文。文字应简单易懂。硬件的技术文件应附详尽图表以便安装和纠错指导。</w:t>
      </w:r>
    </w:p>
    <w:p>
      <w:pPr>
        <w:pStyle w:val="66"/>
        <w:spacing w:after="0" w:line="360" w:lineRule="auto"/>
        <w:rPr>
          <w:rFonts w:ascii="宋体" w:hAnsi="宋体"/>
          <w:sz w:val="24"/>
          <w:szCs w:val="24"/>
        </w:rPr>
      </w:pPr>
      <w:r>
        <w:rPr>
          <w:rFonts w:hint="eastAsia" w:ascii="宋体" w:hAnsi="宋体"/>
          <w:sz w:val="24"/>
          <w:szCs w:val="24"/>
        </w:rPr>
        <w:t>（3）</w:t>
      </w:r>
      <w:r>
        <w:rPr>
          <w:rFonts w:ascii="宋体" w:hAnsi="宋体"/>
          <w:sz w:val="24"/>
          <w:szCs w:val="24"/>
        </w:rPr>
        <w:t>技术手册应至少包括如下内容：相关硬件安装指导、安装手册、使用说明书、设备保养、维护手册（包含错误诊断、测试程序）等；相关软件的安装指导、用户指导、管理者手册、语言和命令说明等。</w:t>
      </w:r>
    </w:p>
    <w:p>
      <w:pPr>
        <w:pStyle w:val="66"/>
        <w:spacing w:after="0" w:line="360" w:lineRule="auto"/>
        <w:rPr>
          <w:rFonts w:ascii="宋体" w:hAnsi="宋体"/>
          <w:sz w:val="24"/>
          <w:szCs w:val="24"/>
        </w:rPr>
      </w:pPr>
      <w:r>
        <w:rPr>
          <w:rFonts w:hint="eastAsia" w:ascii="宋体" w:hAnsi="宋体"/>
          <w:sz w:val="24"/>
          <w:szCs w:val="24"/>
        </w:rPr>
        <w:t>（4）</w:t>
      </w:r>
      <w:r>
        <w:rPr>
          <w:rFonts w:ascii="宋体" w:hAnsi="宋体"/>
          <w:sz w:val="24"/>
          <w:szCs w:val="24"/>
        </w:rPr>
        <w:t>自动监测仪器所采用的分析方法的名称、标准代号及分析方法的中（英）文说明书。</w:t>
      </w:r>
    </w:p>
    <w:p>
      <w:pPr>
        <w:pStyle w:val="11"/>
        <w:spacing w:after="0" w:line="360" w:lineRule="auto"/>
        <w:rPr>
          <w:rFonts w:ascii="宋体" w:hAnsi="宋体"/>
          <w:sz w:val="24"/>
          <w:szCs w:val="24"/>
        </w:rPr>
      </w:pPr>
      <w:r>
        <w:rPr>
          <w:rFonts w:ascii="宋体" w:hAnsi="宋体"/>
          <w:sz w:val="24"/>
          <w:szCs w:val="24"/>
        </w:rPr>
        <w:t>4.</w:t>
      </w:r>
      <w:r>
        <w:rPr>
          <w:rFonts w:hint="eastAsia" w:ascii="宋体" w:hAnsi="宋体"/>
          <w:sz w:val="24"/>
          <w:szCs w:val="24"/>
        </w:rPr>
        <w:t>投标人须承诺中标后按照采购人指定的传输协议要求，将所有监测数据及视频传输至指定的平台，包括仪器的实时状态、关键参数和监测数据等。并向采购人提供所有仪器的底层通信协议。如产生相关费用，由中标商承担。</w:t>
      </w:r>
    </w:p>
    <w:p>
      <w:pPr>
        <w:pStyle w:val="11"/>
        <w:spacing w:after="0" w:line="360" w:lineRule="auto"/>
        <w:rPr>
          <w:rFonts w:ascii="宋体" w:hAnsi="宋体"/>
          <w:sz w:val="24"/>
          <w:szCs w:val="24"/>
        </w:rPr>
      </w:pPr>
      <w:r>
        <w:rPr>
          <w:rFonts w:ascii="宋体" w:hAnsi="宋体"/>
          <w:sz w:val="24"/>
          <w:szCs w:val="24"/>
        </w:rPr>
        <w:t>5.</w:t>
      </w:r>
      <w:r>
        <w:rPr>
          <w:rFonts w:hint="eastAsia" w:ascii="宋体" w:hAnsi="宋体"/>
          <w:sz w:val="24"/>
          <w:szCs w:val="24"/>
        </w:rPr>
        <w:t>中标价格包含数据联网、视频联网、平台联网部署、平台二次开发、数据共享等费用。</w:t>
      </w:r>
    </w:p>
    <w:p>
      <w:pPr>
        <w:pStyle w:val="66"/>
        <w:spacing w:after="0" w:line="360" w:lineRule="auto"/>
        <w:rPr>
          <w:rFonts w:ascii="宋体" w:hAnsi="宋体"/>
          <w:sz w:val="24"/>
          <w:szCs w:val="24"/>
        </w:rPr>
      </w:pPr>
      <w:r>
        <w:rPr>
          <w:rFonts w:hint="eastAsia" w:ascii="宋体" w:hAnsi="宋体"/>
          <w:sz w:val="24"/>
          <w:szCs w:val="24"/>
        </w:rPr>
        <w:t>6.</w:t>
      </w:r>
      <w:r>
        <w:rPr>
          <w:rFonts w:ascii="宋体" w:hAnsi="宋体"/>
          <w:sz w:val="24"/>
          <w:szCs w:val="24"/>
        </w:rPr>
        <w:t>本用户需求中没有在投标文件中注明偏离（文字说明或在技术、商务偏离表注明）的参数、配置、条款视为投标人完全接受。</w:t>
      </w:r>
    </w:p>
    <w:p>
      <w:pPr>
        <w:pStyle w:val="66"/>
        <w:spacing w:after="0" w:line="360" w:lineRule="auto"/>
        <w:rPr>
          <w:rFonts w:ascii="宋体" w:hAnsi="宋体"/>
          <w:sz w:val="24"/>
          <w:szCs w:val="24"/>
        </w:rPr>
      </w:pPr>
      <w:r>
        <w:rPr>
          <w:rFonts w:hint="eastAsia" w:ascii="宋体" w:hAnsi="宋体"/>
          <w:sz w:val="24"/>
          <w:szCs w:val="24"/>
        </w:rPr>
        <w:t>7.</w:t>
      </w:r>
      <w:r>
        <w:rPr>
          <w:rFonts w:ascii="宋体" w:hAnsi="宋体"/>
          <w:sz w:val="24"/>
          <w:szCs w:val="24"/>
        </w:rPr>
        <w:t>投标货物或商务条款存在偏差的必须如实填写本表，否则可能导致投标被废标。</w:t>
      </w:r>
    </w:p>
    <w:p>
      <w:pPr>
        <w:pStyle w:val="66"/>
        <w:spacing w:after="0" w:line="360" w:lineRule="auto"/>
        <w:rPr>
          <w:rFonts w:ascii="宋体" w:hAnsi="宋体"/>
          <w:sz w:val="24"/>
          <w:szCs w:val="24"/>
        </w:rPr>
      </w:pPr>
      <w:r>
        <w:rPr>
          <w:rFonts w:hint="eastAsia" w:ascii="宋体" w:hAnsi="宋体"/>
          <w:sz w:val="24"/>
          <w:szCs w:val="24"/>
        </w:rPr>
        <w:t>8.</w:t>
      </w:r>
      <w:r>
        <w:rPr>
          <w:rFonts w:ascii="宋体" w:hAnsi="宋体"/>
          <w:sz w:val="24"/>
          <w:szCs w:val="24"/>
        </w:rPr>
        <w:t>投标人须按照招标文件中的技术指标逐条填写，未逐条填写的将被视为不响应。</w:t>
      </w:r>
    </w:p>
    <w:p>
      <w:pPr>
        <w:autoSpaceDE w:val="0"/>
        <w:autoSpaceDN w:val="0"/>
        <w:spacing w:line="360" w:lineRule="auto"/>
        <w:rPr>
          <w:rFonts w:ascii="宋体" w:hAnsi="宋体" w:eastAsia="宋体"/>
          <w:sz w:val="24"/>
        </w:rPr>
      </w:pPr>
      <w:r>
        <w:rPr>
          <w:rFonts w:hint="eastAsia" w:ascii="宋体" w:hAnsi="宋体" w:eastAsia="宋体"/>
          <w:sz w:val="24"/>
        </w:rPr>
        <w:t>9.</w:t>
      </w:r>
      <w:r>
        <w:rPr>
          <w:rFonts w:ascii="宋体" w:hAnsi="宋体" w:eastAsia="宋体"/>
          <w:sz w:val="24"/>
        </w:rPr>
        <w:t>中标单位在签订合同时，若坚持提出附加条件和不合理要求，中标资格将被取消，该中标人对由此产生的一切后果负责。</w:t>
      </w:r>
    </w:p>
    <w:p>
      <w:pPr>
        <w:autoSpaceDE w:val="0"/>
        <w:autoSpaceDN w:val="0"/>
        <w:spacing w:line="360" w:lineRule="auto"/>
        <w:rPr>
          <w:rFonts w:ascii="宋体" w:hAnsi="宋体" w:eastAsia="宋体"/>
          <w:b/>
          <w:sz w:val="30"/>
          <w:szCs w:val="30"/>
        </w:rPr>
      </w:pPr>
      <w:r>
        <w:rPr>
          <w:rFonts w:hint="eastAsia" w:ascii="宋体" w:hAnsi="宋体" w:eastAsia="宋体"/>
          <w:b/>
          <w:sz w:val="30"/>
          <w:szCs w:val="30"/>
        </w:rPr>
        <w:t>七、考核内容</w:t>
      </w:r>
    </w:p>
    <w:p>
      <w:pPr>
        <w:spacing w:line="360" w:lineRule="auto"/>
        <w:ind w:firstLine="480" w:firstLineChars="200"/>
        <w:rPr>
          <w:rFonts w:ascii="宋体" w:hAnsi="宋体" w:eastAsia="宋体"/>
          <w:sz w:val="24"/>
        </w:rPr>
      </w:pPr>
      <w:r>
        <w:rPr>
          <w:rFonts w:hint="eastAsia" w:ascii="宋体" w:hAnsi="宋体" w:eastAsia="宋体"/>
          <w:sz w:val="24"/>
        </w:rPr>
        <w:t>济南市生态环境局负责每月对运营单位进行考核（表2。考核采取百分制、单站</w:t>
      </w:r>
      <w:r>
        <w:rPr>
          <w:rFonts w:hint="eastAsia" w:ascii="宋体" w:hAnsi="宋体" w:eastAsia="宋体" w:cs="宋体"/>
          <w:sz w:val="24"/>
        </w:rPr>
        <w:t>每月</w:t>
      </w:r>
      <w:r>
        <w:rPr>
          <w:rFonts w:hint="eastAsia" w:ascii="宋体" w:hAnsi="宋体" w:eastAsia="宋体"/>
          <w:sz w:val="24"/>
        </w:rPr>
        <w:t>考核的方式进行，主要包括监测设备运行率和监测数据准确率</w:t>
      </w:r>
      <w:r>
        <w:rPr>
          <w:rFonts w:ascii="宋体" w:hAnsi="宋体" w:eastAsia="宋体"/>
          <w:sz w:val="24"/>
        </w:rPr>
        <w:t>(</w:t>
      </w:r>
      <w:r>
        <w:rPr>
          <w:rFonts w:hint="eastAsia" w:ascii="宋体" w:hAnsi="宋体" w:eastAsia="宋体"/>
          <w:sz w:val="24"/>
        </w:rPr>
        <w:t>以下简称两率</w:t>
      </w:r>
      <w:r>
        <w:rPr>
          <w:rFonts w:ascii="宋体" w:hAnsi="宋体" w:eastAsia="宋体"/>
          <w:sz w:val="24"/>
        </w:rPr>
        <w:t>)</w:t>
      </w:r>
      <w:r>
        <w:rPr>
          <w:rFonts w:hint="eastAsia" w:ascii="宋体" w:hAnsi="宋体" w:eastAsia="宋体"/>
          <w:sz w:val="24"/>
        </w:rPr>
        <w:t>、运行维护有关内容，其中两率考核占</w:t>
      </w:r>
      <w:r>
        <w:rPr>
          <w:rFonts w:ascii="宋体" w:hAnsi="宋体" w:eastAsia="宋体"/>
          <w:sz w:val="24"/>
        </w:rPr>
        <w:t>7</w:t>
      </w:r>
      <w:r>
        <w:rPr>
          <w:rFonts w:hint="eastAsia" w:ascii="宋体" w:hAnsi="宋体" w:eastAsia="宋体"/>
          <w:sz w:val="24"/>
        </w:rPr>
        <w:t>0分，运行维护考核占</w:t>
      </w:r>
      <w:r>
        <w:rPr>
          <w:rFonts w:ascii="宋体" w:hAnsi="宋体" w:eastAsia="宋体"/>
          <w:sz w:val="24"/>
        </w:rPr>
        <w:t>30</w:t>
      </w:r>
      <w:r>
        <w:rPr>
          <w:rFonts w:hint="eastAsia" w:ascii="宋体" w:hAnsi="宋体" w:eastAsia="宋体"/>
          <w:sz w:val="24"/>
        </w:rPr>
        <w:t>分。其中考核分值在</w:t>
      </w:r>
      <w:r>
        <w:rPr>
          <w:rFonts w:ascii="宋体" w:hAnsi="宋体" w:eastAsia="宋体"/>
          <w:sz w:val="24"/>
        </w:rPr>
        <w:t>90</w:t>
      </w:r>
      <w:r>
        <w:rPr>
          <w:rFonts w:hint="eastAsia" w:ascii="宋体" w:hAnsi="宋体" w:eastAsia="宋体"/>
          <w:sz w:val="24"/>
        </w:rPr>
        <w:t>分以上的全额支付，</w:t>
      </w:r>
      <w:r>
        <w:rPr>
          <w:rFonts w:ascii="宋体" w:hAnsi="宋体" w:eastAsia="宋体"/>
          <w:sz w:val="24"/>
        </w:rPr>
        <w:t>85--90</w:t>
      </w:r>
      <w:r>
        <w:rPr>
          <w:rFonts w:hint="eastAsia" w:ascii="宋体" w:hAnsi="宋体" w:eastAsia="宋体"/>
          <w:sz w:val="24"/>
        </w:rPr>
        <w:t>分按全年运营费的</w:t>
      </w:r>
      <w:r>
        <w:rPr>
          <w:rFonts w:ascii="宋体" w:hAnsi="宋体" w:eastAsia="宋体"/>
          <w:sz w:val="24"/>
        </w:rPr>
        <w:t>90%</w:t>
      </w:r>
      <w:r>
        <w:rPr>
          <w:rFonts w:hint="eastAsia" w:ascii="宋体" w:hAnsi="宋体" w:eastAsia="宋体"/>
          <w:sz w:val="24"/>
        </w:rPr>
        <w:t>支付，</w:t>
      </w:r>
      <w:r>
        <w:rPr>
          <w:rFonts w:ascii="宋体" w:hAnsi="宋体" w:eastAsia="宋体"/>
          <w:sz w:val="24"/>
        </w:rPr>
        <w:t>80--85</w:t>
      </w:r>
      <w:r>
        <w:rPr>
          <w:rFonts w:hint="eastAsia" w:ascii="宋体" w:hAnsi="宋体" w:eastAsia="宋体"/>
          <w:sz w:val="24"/>
        </w:rPr>
        <w:t>分按全年运营费的</w:t>
      </w:r>
      <w:r>
        <w:rPr>
          <w:rFonts w:ascii="宋体" w:hAnsi="宋体" w:eastAsia="宋体"/>
          <w:sz w:val="24"/>
        </w:rPr>
        <w:t>80%</w:t>
      </w:r>
      <w:r>
        <w:rPr>
          <w:rFonts w:hint="eastAsia" w:ascii="宋体" w:hAnsi="宋体" w:eastAsia="宋体"/>
          <w:sz w:val="24"/>
        </w:rPr>
        <w:t>支付，低于</w:t>
      </w:r>
      <w:r>
        <w:rPr>
          <w:rFonts w:ascii="宋体" w:hAnsi="宋体" w:eastAsia="宋体"/>
          <w:sz w:val="24"/>
        </w:rPr>
        <w:t>80</w:t>
      </w:r>
      <w:r>
        <w:rPr>
          <w:rFonts w:hint="eastAsia" w:ascii="宋体" w:hAnsi="宋体" w:eastAsia="宋体"/>
          <w:sz w:val="24"/>
        </w:rPr>
        <w:t>分扣除全年该站点费用。</w:t>
      </w:r>
    </w:p>
    <w:p>
      <w:pPr>
        <w:spacing w:line="360" w:lineRule="auto"/>
        <w:ind w:firstLine="480" w:firstLineChars="200"/>
        <w:rPr>
          <w:rFonts w:ascii="宋体" w:hAnsi="宋体" w:eastAsia="宋体"/>
          <w:sz w:val="24"/>
        </w:rPr>
      </w:pPr>
      <w:r>
        <w:rPr>
          <w:rFonts w:hint="eastAsia" w:ascii="宋体" w:hAnsi="宋体" w:eastAsia="宋体"/>
          <w:sz w:val="24"/>
        </w:rPr>
        <w:t>仪器运行率由已上传数据量与应上传数据量之比计算考核；数据准确率由实际有效上传数据与应上传数据量之比计算考核。</w:t>
      </w:r>
    </w:p>
    <w:p>
      <w:pPr>
        <w:autoSpaceDE w:val="0"/>
        <w:autoSpaceDN w:val="0"/>
        <w:spacing w:line="360" w:lineRule="auto"/>
        <w:ind w:firstLine="480" w:firstLineChars="200"/>
        <w:rPr>
          <w:rFonts w:ascii="宋体" w:hAnsi="宋体" w:eastAsia="宋体"/>
          <w:sz w:val="24"/>
        </w:rPr>
      </w:pPr>
      <w:r>
        <w:rPr>
          <w:rFonts w:hint="eastAsia" w:ascii="宋体" w:hAnsi="宋体" w:eastAsia="宋体"/>
          <w:sz w:val="24"/>
        </w:rPr>
        <w:t>运行维护部分由济南市生态环境局每月点位抽查成绩和第三方质控单位质量控制结果构成，抽查成绩或质控结果作为当月各站点运行维护部分得分。济南市生态环境局抽查点位的，运行维护部分以抽查成绩为准；济南市生态环境局抽查以外的点位，运行维护部分以质控结果为准。</w:t>
      </w:r>
    </w:p>
    <w:p>
      <w:pPr>
        <w:spacing w:line="360" w:lineRule="auto"/>
        <w:ind w:firstLine="480" w:firstLineChars="200"/>
        <w:rPr>
          <w:rFonts w:ascii="宋体" w:hAnsi="宋体" w:eastAsia="宋体"/>
          <w:sz w:val="24"/>
        </w:rPr>
      </w:pPr>
      <w:r>
        <w:rPr>
          <w:rFonts w:hint="eastAsia" w:ascii="宋体" w:hAnsi="宋体" w:eastAsia="宋体" w:cs="宋体"/>
          <w:sz w:val="24"/>
        </w:rPr>
        <w:t>其中考核分值在</w:t>
      </w:r>
      <w:r>
        <w:rPr>
          <w:rFonts w:ascii="宋体" w:hAnsi="宋体" w:eastAsia="宋体"/>
          <w:sz w:val="24"/>
        </w:rPr>
        <w:t>90</w:t>
      </w:r>
      <w:r>
        <w:rPr>
          <w:rFonts w:hint="eastAsia" w:ascii="宋体" w:hAnsi="宋体" w:eastAsia="宋体" w:cs="宋体"/>
          <w:sz w:val="24"/>
        </w:rPr>
        <w:t>分以上的全额支付，</w:t>
      </w:r>
      <w:r>
        <w:rPr>
          <w:rFonts w:ascii="宋体" w:hAnsi="宋体" w:eastAsia="宋体"/>
          <w:sz w:val="24"/>
        </w:rPr>
        <w:t>85—90</w:t>
      </w:r>
      <w:r>
        <w:rPr>
          <w:rFonts w:hint="eastAsia" w:ascii="宋体" w:hAnsi="宋体" w:eastAsia="宋体" w:cs="宋体"/>
          <w:sz w:val="24"/>
        </w:rPr>
        <w:t>分按全年运营费的</w:t>
      </w:r>
      <w:r>
        <w:rPr>
          <w:rFonts w:ascii="宋体" w:hAnsi="宋体" w:eastAsia="宋体"/>
          <w:sz w:val="24"/>
        </w:rPr>
        <w:t>90%</w:t>
      </w:r>
      <w:r>
        <w:rPr>
          <w:rFonts w:hint="eastAsia" w:ascii="宋体" w:hAnsi="宋体" w:eastAsia="宋体" w:cs="宋体"/>
          <w:sz w:val="24"/>
        </w:rPr>
        <w:t>支付，</w:t>
      </w:r>
      <w:r>
        <w:rPr>
          <w:rFonts w:ascii="宋体" w:hAnsi="宋体" w:eastAsia="宋体"/>
          <w:sz w:val="24"/>
        </w:rPr>
        <w:t>80---85</w:t>
      </w:r>
      <w:r>
        <w:rPr>
          <w:rFonts w:hint="eastAsia" w:ascii="宋体" w:hAnsi="宋体" w:eastAsia="宋体" w:cs="宋体"/>
          <w:sz w:val="24"/>
        </w:rPr>
        <w:t>分按全年运营费的</w:t>
      </w:r>
      <w:r>
        <w:rPr>
          <w:rFonts w:ascii="宋体" w:hAnsi="宋体" w:eastAsia="宋体"/>
          <w:sz w:val="24"/>
        </w:rPr>
        <w:t>80%</w:t>
      </w:r>
      <w:r>
        <w:rPr>
          <w:rFonts w:hint="eastAsia" w:ascii="宋体" w:hAnsi="宋体" w:eastAsia="宋体" w:cs="宋体"/>
          <w:sz w:val="24"/>
        </w:rPr>
        <w:t>支付，低于</w:t>
      </w:r>
      <w:r>
        <w:rPr>
          <w:rFonts w:ascii="宋体" w:hAnsi="宋体" w:eastAsia="宋体"/>
          <w:sz w:val="24"/>
        </w:rPr>
        <w:t>80</w:t>
      </w:r>
      <w:r>
        <w:rPr>
          <w:rFonts w:hint="eastAsia" w:ascii="宋体" w:hAnsi="宋体" w:eastAsia="宋体" w:cs="宋体"/>
          <w:sz w:val="24"/>
        </w:rPr>
        <w:t>分扣除全年该站点费用。</w:t>
      </w:r>
    </w:p>
    <w:p>
      <w:pPr>
        <w:spacing w:line="360" w:lineRule="auto"/>
        <w:jc w:val="center"/>
        <w:rPr>
          <w:rFonts w:ascii="宋体" w:hAnsi="宋体" w:eastAsia="宋体"/>
          <w:b/>
          <w:sz w:val="24"/>
        </w:rPr>
      </w:pPr>
    </w:p>
    <w:p>
      <w:pPr>
        <w:spacing w:line="360" w:lineRule="auto"/>
        <w:jc w:val="center"/>
        <w:rPr>
          <w:rFonts w:ascii="宋体" w:hAnsi="宋体" w:eastAsia="宋体"/>
          <w:b/>
          <w:sz w:val="24"/>
        </w:rPr>
      </w:pPr>
    </w:p>
    <w:p>
      <w:pPr>
        <w:spacing w:line="360" w:lineRule="auto"/>
        <w:jc w:val="center"/>
        <w:rPr>
          <w:rFonts w:ascii="宋体" w:hAnsi="宋体" w:eastAsia="宋体"/>
          <w:b/>
          <w:sz w:val="24"/>
        </w:rPr>
      </w:pPr>
    </w:p>
    <w:p>
      <w:pPr>
        <w:spacing w:line="360" w:lineRule="auto"/>
        <w:jc w:val="center"/>
        <w:rPr>
          <w:rFonts w:ascii="宋体" w:hAnsi="宋体" w:eastAsia="宋体"/>
          <w:b/>
          <w:sz w:val="24"/>
        </w:rPr>
      </w:pPr>
    </w:p>
    <w:p>
      <w:pPr>
        <w:spacing w:line="360" w:lineRule="auto"/>
        <w:jc w:val="center"/>
        <w:rPr>
          <w:rFonts w:ascii="宋体" w:hAnsi="宋体" w:eastAsia="宋体"/>
          <w:b/>
          <w:sz w:val="24"/>
        </w:rPr>
      </w:pPr>
    </w:p>
    <w:p>
      <w:pPr>
        <w:spacing w:line="360" w:lineRule="auto"/>
        <w:jc w:val="center"/>
        <w:rPr>
          <w:rFonts w:ascii="宋体" w:hAnsi="宋体" w:eastAsia="宋体"/>
          <w:b/>
          <w:sz w:val="24"/>
        </w:rPr>
      </w:pPr>
    </w:p>
    <w:p>
      <w:pPr>
        <w:spacing w:line="360" w:lineRule="auto"/>
        <w:jc w:val="center"/>
        <w:rPr>
          <w:rFonts w:ascii="宋体" w:hAnsi="宋体" w:eastAsia="宋体"/>
          <w:b/>
          <w:sz w:val="24"/>
        </w:rPr>
      </w:pPr>
    </w:p>
    <w:p>
      <w:pPr>
        <w:spacing w:line="360" w:lineRule="auto"/>
        <w:jc w:val="center"/>
        <w:rPr>
          <w:rFonts w:ascii="宋体" w:hAnsi="宋体" w:eastAsia="宋体"/>
          <w:sz w:val="24"/>
        </w:rPr>
      </w:pPr>
      <w:r>
        <w:rPr>
          <w:rFonts w:hint="eastAsia" w:ascii="宋体" w:hAnsi="宋体" w:eastAsia="宋体"/>
          <w:b/>
          <w:sz w:val="24"/>
        </w:rPr>
        <w:t>表2  非国标法微型站</w:t>
      </w:r>
      <w:r>
        <w:rPr>
          <w:rFonts w:ascii="宋体" w:hAnsi="宋体" w:eastAsia="宋体"/>
          <w:b/>
          <w:sz w:val="24"/>
        </w:rPr>
        <w:t>月考核</w:t>
      </w:r>
      <w:r>
        <w:rPr>
          <w:rFonts w:hint="eastAsia" w:ascii="宋体" w:hAnsi="宋体" w:eastAsia="宋体"/>
          <w:b/>
          <w:sz w:val="24"/>
        </w:rPr>
        <w:t>表</w:t>
      </w:r>
    </w:p>
    <w:tbl>
      <w:tblPr>
        <w:tblStyle w:val="26"/>
        <w:tblW w:w="8228" w:type="dxa"/>
        <w:jc w:val="center"/>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4253"/>
        <w:gridCol w:w="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项目</w:t>
            </w:r>
          </w:p>
        </w:tc>
        <w:tc>
          <w:tcPr>
            <w:tcW w:w="425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考核内容</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得分</w:t>
            </w: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两率（</w:t>
            </w:r>
            <w:r>
              <w:rPr>
                <w:rFonts w:ascii="宋体" w:hAnsi="宋体" w:eastAsia="宋体"/>
                <w:szCs w:val="21"/>
              </w:rPr>
              <w:t>70</w:t>
            </w:r>
            <w:r>
              <w:rPr>
                <w:rFonts w:hint="eastAsia" w:ascii="宋体" w:hAnsi="宋体" w:eastAsia="宋体"/>
                <w:szCs w:val="21"/>
              </w:rPr>
              <w:t>分）</w:t>
            </w:r>
          </w:p>
        </w:tc>
        <w:tc>
          <w:tcPr>
            <w:tcW w:w="425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运行率（</w:t>
            </w:r>
            <w:r>
              <w:rPr>
                <w:rFonts w:ascii="宋体" w:hAnsi="宋体" w:eastAsia="宋体"/>
                <w:szCs w:val="21"/>
              </w:rPr>
              <w:t>90%</w:t>
            </w:r>
            <w:r>
              <w:rPr>
                <w:rFonts w:hint="eastAsia" w:ascii="宋体" w:hAnsi="宋体" w:eastAsia="宋体"/>
                <w:szCs w:val="21"/>
              </w:rPr>
              <w:t>）（</w:t>
            </w:r>
            <w:r>
              <w:rPr>
                <w:rFonts w:ascii="宋体" w:hAnsi="宋体" w:eastAsia="宋体"/>
                <w:szCs w:val="21"/>
              </w:rPr>
              <w:t>35</w:t>
            </w:r>
            <w:r>
              <w:rPr>
                <w:rFonts w:hint="eastAsia" w:ascii="宋体" w:hAnsi="宋体" w:eastAsia="宋体"/>
                <w:szCs w:val="21"/>
              </w:rPr>
              <w:t>分）。运行率每低</w:t>
            </w:r>
            <w:r>
              <w:rPr>
                <w:rFonts w:ascii="宋体" w:hAnsi="宋体" w:eastAsia="宋体"/>
                <w:szCs w:val="21"/>
              </w:rPr>
              <w:t>1%</w:t>
            </w:r>
            <w:r>
              <w:rPr>
                <w:rFonts w:hint="eastAsia" w:ascii="宋体" w:hAnsi="宋体" w:eastAsia="宋体"/>
                <w:szCs w:val="21"/>
              </w:rPr>
              <w:t>扣</w:t>
            </w:r>
            <w:r>
              <w:rPr>
                <w:rFonts w:ascii="宋体" w:hAnsi="宋体" w:eastAsia="宋体"/>
                <w:szCs w:val="21"/>
              </w:rPr>
              <w:t>2</w:t>
            </w:r>
            <w:r>
              <w:rPr>
                <w:rFonts w:hint="eastAsia" w:ascii="宋体" w:hAnsi="宋体" w:eastAsia="宋体"/>
                <w:szCs w:val="21"/>
              </w:rPr>
              <w:t>分</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准确率（8</w:t>
            </w:r>
            <w:r>
              <w:rPr>
                <w:rFonts w:ascii="宋体" w:hAnsi="宋体" w:eastAsia="宋体"/>
                <w:szCs w:val="21"/>
              </w:rPr>
              <w:t>0%</w:t>
            </w:r>
            <w:r>
              <w:rPr>
                <w:rFonts w:hint="eastAsia" w:ascii="宋体" w:hAnsi="宋体" w:eastAsia="宋体"/>
                <w:szCs w:val="21"/>
              </w:rPr>
              <w:t>）（</w:t>
            </w:r>
            <w:r>
              <w:rPr>
                <w:rFonts w:ascii="宋体" w:hAnsi="宋体" w:eastAsia="宋体"/>
                <w:szCs w:val="21"/>
              </w:rPr>
              <w:t>35</w:t>
            </w:r>
            <w:r>
              <w:rPr>
                <w:rFonts w:hint="eastAsia" w:ascii="宋体" w:hAnsi="宋体" w:eastAsia="宋体"/>
                <w:szCs w:val="21"/>
              </w:rPr>
              <w:t>分）。准确率每低</w:t>
            </w:r>
            <w:r>
              <w:rPr>
                <w:rFonts w:ascii="宋体" w:hAnsi="宋体" w:eastAsia="宋体"/>
                <w:szCs w:val="21"/>
              </w:rPr>
              <w:t>1%</w:t>
            </w:r>
            <w:r>
              <w:rPr>
                <w:rFonts w:hint="eastAsia" w:ascii="宋体" w:hAnsi="宋体" w:eastAsia="宋体"/>
                <w:szCs w:val="21"/>
              </w:rPr>
              <w:t>扣</w:t>
            </w:r>
            <w:r>
              <w:rPr>
                <w:rFonts w:ascii="宋体" w:hAnsi="宋体" w:eastAsia="宋体"/>
                <w:szCs w:val="21"/>
              </w:rPr>
              <w:t>2</w:t>
            </w:r>
            <w:r>
              <w:rPr>
                <w:rFonts w:hint="eastAsia" w:ascii="宋体" w:hAnsi="宋体" w:eastAsia="宋体"/>
                <w:szCs w:val="21"/>
              </w:rPr>
              <w:t>分</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运行维护（</w:t>
            </w:r>
            <w:r>
              <w:rPr>
                <w:rFonts w:ascii="宋体" w:hAnsi="宋体" w:eastAsia="宋体"/>
                <w:szCs w:val="21"/>
              </w:rPr>
              <w:t>30</w:t>
            </w:r>
            <w:r>
              <w:rPr>
                <w:rFonts w:hint="eastAsia" w:ascii="宋体" w:hAnsi="宋体" w:eastAsia="宋体"/>
                <w:szCs w:val="21"/>
              </w:rPr>
              <w:t>分）</w:t>
            </w:r>
          </w:p>
        </w:tc>
        <w:tc>
          <w:tcPr>
            <w:tcW w:w="425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每两周巡检一次，填写巡检的各项记录，及时处理和排除故障（</w:t>
            </w:r>
            <w:r>
              <w:rPr>
                <w:rFonts w:ascii="宋体" w:hAnsi="宋体" w:eastAsia="宋体"/>
                <w:szCs w:val="21"/>
              </w:rPr>
              <w:t>4</w:t>
            </w:r>
            <w:r>
              <w:rPr>
                <w:rFonts w:hint="eastAsia" w:ascii="宋体" w:hAnsi="宋体" w:eastAsia="宋体"/>
                <w:szCs w:val="21"/>
              </w:rPr>
              <w:t>分）。无巡检记录的，扣</w:t>
            </w:r>
            <w:r>
              <w:rPr>
                <w:rFonts w:ascii="宋体" w:hAnsi="宋体" w:eastAsia="宋体"/>
                <w:szCs w:val="21"/>
              </w:rPr>
              <w:t>2</w:t>
            </w:r>
            <w:r>
              <w:rPr>
                <w:rFonts w:hint="eastAsia" w:ascii="宋体" w:hAnsi="宋体" w:eastAsia="宋体"/>
                <w:szCs w:val="21"/>
              </w:rPr>
              <w:t>分；巡检记录不全的，发现一处扣</w:t>
            </w:r>
            <w:r>
              <w:rPr>
                <w:rFonts w:ascii="宋体" w:hAnsi="宋体" w:eastAsia="宋体"/>
                <w:szCs w:val="21"/>
              </w:rPr>
              <w:t>1</w:t>
            </w:r>
            <w:r>
              <w:rPr>
                <w:rFonts w:hint="eastAsia" w:ascii="宋体" w:hAnsi="宋体" w:eastAsia="宋体"/>
                <w:szCs w:val="21"/>
              </w:rPr>
              <w:t>分，扣完为止</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每两周</w:t>
            </w:r>
            <w:r>
              <w:rPr>
                <w:rFonts w:ascii="宋体" w:hAnsi="宋体" w:eastAsia="宋体"/>
                <w:szCs w:val="21"/>
              </w:rPr>
              <w:t>COD</w:t>
            </w:r>
            <w:r>
              <w:rPr>
                <w:rFonts w:hint="eastAsia" w:ascii="宋体" w:hAnsi="宋体" w:eastAsia="宋体"/>
                <w:szCs w:val="21"/>
              </w:rPr>
              <w:t>、氨氮标准溶液核查，填写记录（</w:t>
            </w:r>
            <w:r>
              <w:rPr>
                <w:rFonts w:ascii="宋体" w:hAnsi="宋体" w:eastAsia="宋体"/>
                <w:szCs w:val="21"/>
              </w:rPr>
              <w:t>4</w:t>
            </w:r>
            <w:r>
              <w:rPr>
                <w:rFonts w:hint="eastAsia" w:ascii="宋体" w:hAnsi="宋体" w:eastAsia="宋体"/>
                <w:szCs w:val="21"/>
              </w:rPr>
              <w:t>分）。一项次不合格扣</w:t>
            </w:r>
            <w:r>
              <w:rPr>
                <w:rFonts w:ascii="宋体" w:hAnsi="宋体" w:eastAsia="宋体"/>
                <w:szCs w:val="21"/>
              </w:rPr>
              <w:t>1</w:t>
            </w:r>
            <w:r>
              <w:rPr>
                <w:rFonts w:hint="eastAsia" w:ascii="宋体" w:hAnsi="宋体" w:eastAsia="宋体"/>
                <w:szCs w:val="21"/>
              </w:rPr>
              <w:t>分，扣完为止。</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每月</w:t>
            </w:r>
            <w:r>
              <w:rPr>
                <w:rFonts w:ascii="宋体" w:hAnsi="宋体" w:eastAsia="宋体"/>
                <w:szCs w:val="21"/>
              </w:rPr>
              <w:t>COD</w:t>
            </w:r>
            <w:r>
              <w:rPr>
                <w:rFonts w:hint="eastAsia" w:ascii="宋体" w:hAnsi="宋体" w:eastAsia="宋体"/>
                <w:szCs w:val="21"/>
              </w:rPr>
              <w:t>、氨氮、pH、溶解氧人工比对，填写记录并出具报告（</w:t>
            </w:r>
            <w:r>
              <w:rPr>
                <w:rFonts w:ascii="宋体" w:hAnsi="宋体" w:eastAsia="宋体"/>
                <w:szCs w:val="21"/>
              </w:rPr>
              <w:t>4</w:t>
            </w:r>
            <w:r>
              <w:rPr>
                <w:rFonts w:hint="eastAsia" w:ascii="宋体" w:hAnsi="宋体" w:eastAsia="宋体"/>
                <w:szCs w:val="21"/>
              </w:rPr>
              <w:t>分）。一项次不合格扣</w:t>
            </w:r>
            <w:r>
              <w:rPr>
                <w:rFonts w:ascii="宋体" w:hAnsi="宋体" w:eastAsia="宋体"/>
                <w:szCs w:val="21"/>
              </w:rPr>
              <w:t>2</w:t>
            </w:r>
            <w:r>
              <w:rPr>
                <w:rFonts w:hint="eastAsia" w:ascii="宋体" w:hAnsi="宋体" w:eastAsia="宋体"/>
                <w:szCs w:val="21"/>
              </w:rPr>
              <w:t>分，扣完为止。</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ascii="宋体" w:hAnsi="宋体" w:eastAsia="宋体"/>
                <w:szCs w:val="21"/>
              </w:rPr>
              <w:t>24</w:t>
            </w:r>
            <w:r>
              <w:rPr>
                <w:rFonts w:hint="eastAsia" w:ascii="宋体" w:hAnsi="宋体" w:eastAsia="宋体"/>
                <w:szCs w:val="21"/>
              </w:rPr>
              <w:t>小时服务，出现故障及时处理（</w:t>
            </w:r>
            <w:r>
              <w:rPr>
                <w:rFonts w:ascii="宋体" w:hAnsi="宋体" w:eastAsia="宋体"/>
                <w:szCs w:val="21"/>
              </w:rPr>
              <w:t>4</w:t>
            </w:r>
            <w:r>
              <w:rPr>
                <w:rFonts w:hint="eastAsia" w:ascii="宋体" w:hAnsi="宋体" w:eastAsia="宋体"/>
                <w:szCs w:val="21"/>
              </w:rPr>
              <w:t>分）。一次不及时扣</w:t>
            </w:r>
            <w:r>
              <w:rPr>
                <w:rFonts w:ascii="宋体" w:hAnsi="宋体" w:eastAsia="宋体"/>
                <w:szCs w:val="21"/>
              </w:rPr>
              <w:t>1</w:t>
            </w:r>
            <w:r>
              <w:rPr>
                <w:rFonts w:hint="eastAsia" w:ascii="宋体" w:hAnsi="宋体" w:eastAsia="宋体"/>
                <w:szCs w:val="21"/>
              </w:rPr>
              <w:t>分，扣完为止。</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ascii="宋体" w:hAnsi="宋体" w:eastAsia="宋体"/>
                <w:szCs w:val="21"/>
              </w:rPr>
              <w:t>48</w:t>
            </w:r>
            <w:r>
              <w:rPr>
                <w:rFonts w:hint="eastAsia" w:ascii="宋体" w:hAnsi="宋体" w:eastAsia="宋体"/>
                <w:szCs w:val="21"/>
              </w:rPr>
              <w:t>小时服务，出现故障及时处理（</w:t>
            </w:r>
            <w:r>
              <w:rPr>
                <w:rFonts w:ascii="宋体" w:hAnsi="宋体" w:eastAsia="宋体"/>
                <w:szCs w:val="21"/>
              </w:rPr>
              <w:t>6</w:t>
            </w:r>
            <w:r>
              <w:rPr>
                <w:rFonts w:hint="eastAsia" w:ascii="宋体" w:hAnsi="宋体" w:eastAsia="宋体"/>
                <w:szCs w:val="21"/>
              </w:rPr>
              <w:t>分）。一次不及时扣</w:t>
            </w:r>
            <w:r>
              <w:rPr>
                <w:rFonts w:ascii="宋体" w:hAnsi="宋体" w:eastAsia="宋体"/>
                <w:szCs w:val="21"/>
              </w:rPr>
              <w:t>2</w:t>
            </w:r>
            <w:r>
              <w:rPr>
                <w:rFonts w:hint="eastAsia" w:ascii="宋体" w:hAnsi="宋体" w:eastAsia="宋体"/>
                <w:szCs w:val="21"/>
              </w:rPr>
              <w:t>分，扣完为止。</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质量控制：记录完整，每月</w:t>
            </w:r>
            <w:r>
              <w:rPr>
                <w:rFonts w:ascii="宋体" w:hAnsi="宋体" w:eastAsia="宋体"/>
                <w:szCs w:val="21"/>
              </w:rPr>
              <w:t>COD</w:t>
            </w:r>
            <w:r>
              <w:rPr>
                <w:rFonts w:hint="eastAsia" w:ascii="宋体" w:hAnsi="宋体" w:eastAsia="宋体"/>
                <w:szCs w:val="21"/>
              </w:rPr>
              <w:t>、氨氮标准溶液核查，每季度</w:t>
            </w:r>
            <w:r>
              <w:rPr>
                <w:rFonts w:ascii="宋体" w:hAnsi="宋体" w:eastAsia="宋体"/>
                <w:szCs w:val="21"/>
              </w:rPr>
              <w:t>COD</w:t>
            </w:r>
            <w:r>
              <w:rPr>
                <w:rFonts w:hint="eastAsia" w:ascii="宋体" w:hAnsi="宋体" w:eastAsia="宋体"/>
                <w:szCs w:val="21"/>
              </w:rPr>
              <w:t>、氨氮、pH、溶解氧人工比对（</w:t>
            </w:r>
            <w:r>
              <w:rPr>
                <w:rFonts w:ascii="宋体" w:hAnsi="宋体" w:eastAsia="宋体"/>
                <w:szCs w:val="21"/>
              </w:rPr>
              <w:t>8</w:t>
            </w:r>
            <w:r>
              <w:rPr>
                <w:rFonts w:hint="eastAsia" w:ascii="宋体" w:hAnsi="宋体" w:eastAsia="宋体"/>
                <w:szCs w:val="21"/>
              </w:rPr>
              <w:t>分）。巡检记录不全的，发现一处扣</w:t>
            </w:r>
            <w:r>
              <w:rPr>
                <w:rFonts w:ascii="宋体" w:hAnsi="宋体" w:eastAsia="宋体"/>
                <w:szCs w:val="21"/>
              </w:rPr>
              <w:t>1</w:t>
            </w:r>
            <w:r>
              <w:rPr>
                <w:rFonts w:hint="eastAsia" w:ascii="宋体" w:hAnsi="宋体" w:eastAsia="宋体"/>
                <w:szCs w:val="21"/>
              </w:rPr>
              <w:t>分，标准溶液核查一项次不合格扣</w:t>
            </w:r>
            <w:r>
              <w:rPr>
                <w:rFonts w:ascii="宋体" w:hAnsi="宋体" w:eastAsia="宋体"/>
                <w:szCs w:val="21"/>
              </w:rPr>
              <w:t>1</w:t>
            </w:r>
            <w:r>
              <w:rPr>
                <w:rFonts w:hint="eastAsia" w:ascii="宋体" w:hAnsi="宋体" w:eastAsia="宋体"/>
                <w:szCs w:val="21"/>
              </w:rPr>
              <w:t>分，比对一项次不合格扣</w:t>
            </w:r>
            <w:r>
              <w:rPr>
                <w:rFonts w:ascii="宋体" w:hAnsi="宋体" w:eastAsia="宋体"/>
                <w:szCs w:val="21"/>
              </w:rPr>
              <w:t>2</w:t>
            </w:r>
            <w:r>
              <w:rPr>
                <w:rFonts w:hint="eastAsia" w:ascii="宋体" w:hAnsi="宋体" w:eastAsia="宋体"/>
                <w:szCs w:val="21"/>
              </w:rPr>
              <w:t>分。</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r>
              <w:rPr>
                <w:rFonts w:hint="eastAsia" w:ascii="宋体" w:hAnsi="宋体" w:eastAsia="宋体"/>
                <w:szCs w:val="21"/>
              </w:rPr>
              <w:t>总计</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eastAsia="宋体"/>
                <w:szCs w:val="21"/>
              </w:rPr>
            </w:pPr>
          </w:p>
        </w:tc>
      </w:tr>
    </w:tbl>
    <w:p>
      <w:pPr>
        <w:spacing w:line="360" w:lineRule="auto"/>
        <w:rPr>
          <w:rFonts w:ascii="宋体" w:hAnsi="宋体" w:eastAsia="宋体"/>
          <w:sz w:val="24"/>
        </w:rPr>
      </w:pPr>
      <w:r>
        <w:rPr>
          <w:rFonts w:hint="eastAsia" w:ascii="宋体" w:hAnsi="宋体" w:eastAsia="宋体" w:cs="宋体"/>
          <w:sz w:val="24"/>
        </w:rPr>
        <w:t>注：表中各项按分项进行扣分，分项分数扣完为止，不从总分中扣除</w:t>
      </w:r>
      <w:r>
        <w:rPr>
          <w:rFonts w:hint="eastAsia" w:ascii="宋体" w:hAnsi="宋体" w:eastAsia="宋体" w:cs="宋体"/>
          <w:sz w:val="24"/>
          <w:lang w:val="en-GB"/>
        </w:rPr>
        <w:t>。</w:t>
      </w:r>
    </w:p>
    <w:p>
      <w:pPr>
        <w:spacing w:line="360" w:lineRule="auto"/>
        <w:rPr>
          <w:rFonts w:ascii="宋体" w:hAnsi="宋体" w:eastAsia="宋体"/>
          <w:sz w:val="24"/>
        </w:rPr>
      </w:pPr>
    </w:p>
    <w:p>
      <w:pPr>
        <w:spacing w:line="360" w:lineRule="auto"/>
        <w:rPr>
          <w:rFonts w:ascii="宋体" w:hAnsi="宋体" w:eastAsia="宋体"/>
          <w:sz w:val="24"/>
        </w:rPr>
        <w:sectPr>
          <w:pgSz w:w="11906" w:h="16838"/>
          <w:pgMar w:top="1440" w:right="1800" w:bottom="1440" w:left="1800" w:header="851" w:footer="992" w:gutter="0"/>
          <w:cols w:space="425" w:num="1"/>
          <w:docGrid w:type="lines" w:linePitch="312" w:charSpace="0"/>
        </w:sectPr>
      </w:pPr>
    </w:p>
    <w:p>
      <w:pPr>
        <w:spacing w:line="360" w:lineRule="auto"/>
        <w:rPr>
          <w:rFonts w:ascii="宋体" w:hAnsi="宋体" w:eastAsia="宋体"/>
          <w:b/>
          <w:sz w:val="32"/>
          <w:szCs w:val="32"/>
        </w:rPr>
      </w:pPr>
      <w:r>
        <w:rPr>
          <w:rFonts w:ascii="宋体" w:hAnsi="宋体" w:eastAsia="宋体"/>
          <w:b/>
          <w:sz w:val="32"/>
          <w:szCs w:val="32"/>
        </w:rPr>
        <w:t>C</w:t>
      </w:r>
      <w:r>
        <w:rPr>
          <w:rFonts w:hint="eastAsia" w:ascii="宋体" w:hAnsi="宋体" w:eastAsia="宋体"/>
          <w:b/>
          <w:sz w:val="32"/>
          <w:szCs w:val="32"/>
        </w:rPr>
        <w:t>包：</w:t>
      </w:r>
      <w:r>
        <w:rPr>
          <w:rFonts w:ascii="宋体" w:hAnsi="宋体" w:eastAsia="宋体" w:cs="宋体"/>
          <w:b/>
          <w:kern w:val="0"/>
          <w:sz w:val="32"/>
          <w:szCs w:val="32"/>
          <w:lang w:val="zh-CN"/>
        </w:rPr>
        <w:t>2个国标法小型站和10个非国标</w:t>
      </w:r>
      <w:r>
        <w:rPr>
          <w:rFonts w:hint="eastAsia" w:ascii="宋体" w:hAnsi="宋体" w:eastAsia="宋体" w:cs="宋体"/>
          <w:b/>
          <w:kern w:val="0"/>
          <w:sz w:val="32"/>
          <w:szCs w:val="32"/>
          <w:lang w:val="zh-CN"/>
        </w:rPr>
        <w:t>法</w:t>
      </w:r>
      <w:r>
        <w:rPr>
          <w:rFonts w:ascii="宋体" w:hAnsi="宋体" w:eastAsia="宋体" w:cs="宋体"/>
          <w:b/>
          <w:kern w:val="0"/>
          <w:sz w:val="32"/>
          <w:szCs w:val="32"/>
          <w:lang w:val="zh-CN"/>
        </w:rPr>
        <w:t>微</w:t>
      </w:r>
      <w:r>
        <w:rPr>
          <w:rFonts w:hint="eastAsia" w:ascii="宋体" w:hAnsi="宋体" w:eastAsia="宋体" w:cs="宋体"/>
          <w:b/>
          <w:kern w:val="0"/>
          <w:sz w:val="32"/>
          <w:szCs w:val="32"/>
          <w:lang w:val="zh-CN"/>
        </w:rPr>
        <w:t>型</w:t>
      </w:r>
      <w:r>
        <w:rPr>
          <w:rFonts w:ascii="宋体" w:hAnsi="宋体" w:eastAsia="宋体" w:cs="宋体"/>
          <w:b/>
          <w:kern w:val="0"/>
          <w:sz w:val="32"/>
          <w:szCs w:val="32"/>
          <w:lang w:val="zh-CN"/>
        </w:rPr>
        <w:t>站的</w:t>
      </w:r>
      <w:r>
        <w:rPr>
          <w:rFonts w:hint="eastAsia" w:ascii="宋体" w:hAnsi="宋体" w:eastAsia="宋体" w:cs="宋体"/>
          <w:b/>
          <w:kern w:val="0"/>
          <w:sz w:val="32"/>
          <w:szCs w:val="32"/>
          <w:lang w:val="zh-CN"/>
        </w:rPr>
        <w:t>质控管理</w:t>
      </w:r>
    </w:p>
    <w:p>
      <w:pPr>
        <w:spacing w:line="360" w:lineRule="auto"/>
        <w:rPr>
          <w:rFonts w:ascii="宋体" w:hAnsi="宋体" w:eastAsia="宋体"/>
          <w:sz w:val="24"/>
        </w:rPr>
      </w:pPr>
    </w:p>
    <w:p>
      <w:pPr>
        <w:spacing w:line="360" w:lineRule="auto"/>
        <w:rPr>
          <w:rFonts w:ascii="宋体" w:hAnsi="宋体" w:eastAsia="宋体"/>
          <w:b/>
          <w:sz w:val="30"/>
          <w:szCs w:val="30"/>
        </w:rPr>
      </w:pPr>
      <w:r>
        <w:rPr>
          <w:rFonts w:hint="eastAsia" w:ascii="宋体" w:hAnsi="宋体" w:eastAsia="宋体"/>
          <w:b/>
          <w:sz w:val="30"/>
          <w:szCs w:val="30"/>
        </w:rPr>
        <w:t>一、项目概况</w:t>
      </w:r>
    </w:p>
    <w:p>
      <w:pPr>
        <w:spacing w:line="360" w:lineRule="auto"/>
        <w:ind w:firstLine="480" w:firstLineChars="200"/>
        <w:rPr>
          <w:rFonts w:ascii="宋体" w:hAnsi="宋体" w:eastAsia="宋体" w:cstheme="minorEastAsia"/>
          <w:kern w:val="0"/>
          <w:sz w:val="24"/>
        </w:rPr>
      </w:pPr>
      <w:r>
        <w:rPr>
          <w:rFonts w:hint="eastAsia" w:ascii="宋体" w:hAnsi="宋体" w:eastAsia="宋体"/>
          <w:sz w:val="24"/>
        </w:rPr>
        <w:t>本项目为小清河生产路桥、二环东路桥</w:t>
      </w:r>
      <w:r>
        <w:rPr>
          <w:rFonts w:ascii="宋体" w:hAnsi="宋体" w:eastAsia="宋体"/>
          <w:sz w:val="24"/>
        </w:rPr>
        <w:t>2</w:t>
      </w:r>
      <w:r>
        <w:rPr>
          <w:rFonts w:hint="eastAsia" w:ascii="宋体" w:hAnsi="宋体" w:eastAsia="宋体"/>
          <w:sz w:val="24"/>
        </w:rPr>
        <w:t>个断面国标法小型站和</w:t>
      </w:r>
      <w:r>
        <w:rPr>
          <w:rFonts w:hint="eastAsia" w:ascii="宋体" w:hAnsi="宋体" w:eastAsia="宋体" w:cstheme="minorEastAsia"/>
          <w:sz w:val="24"/>
        </w:rPr>
        <w:t>小清河板桥、洪园闸、</w:t>
      </w:r>
      <w:r>
        <w:rPr>
          <w:rFonts w:hint="eastAsia" w:ascii="宋体" w:hAnsi="宋体" w:eastAsia="宋体" w:cstheme="minorEastAsia"/>
          <w:kern w:val="0"/>
          <w:sz w:val="24"/>
        </w:rPr>
        <w:t>辛丰庄等10个非国标法微站共12个水站的质控管理工作。</w:t>
      </w:r>
    </w:p>
    <w:p>
      <w:pPr>
        <w:spacing w:line="360" w:lineRule="auto"/>
        <w:ind w:firstLine="480" w:firstLineChars="200"/>
        <w:rPr>
          <w:rFonts w:ascii="宋体" w:hAnsi="宋体" w:eastAsia="宋体" w:cstheme="minorEastAsia"/>
          <w:kern w:val="0"/>
          <w:sz w:val="24"/>
        </w:rPr>
      </w:pPr>
      <w:r>
        <w:rPr>
          <w:rFonts w:hint="eastAsia" w:ascii="宋体" w:hAnsi="宋体" w:eastAsia="宋体" w:cstheme="minorEastAsia"/>
          <w:kern w:val="0"/>
          <w:sz w:val="24"/>
        </w:rPr>
        <w:t>12个水站</w:t>
      </w:r>
      <w:r>
        <w:rPr>
          <w:rFonts w:hint="eastAsia" w:ascii="宋体" w:hAnsi="宋体" w:eastAsia="宋体"/>
          <w:sz w:val="24"/>
        </w:rPr>
        <w:t>建设完成、验收后，济南市生态环境局与项目中标商签订一年服务合同，如当年考核得分在</w:t>
      </w:r>
      <w:r>
        <w:rPr>
          <w:rFonts w:ascii="宋体" w:hAnsi="宋体" w:eastAsia="宋体"/>
          <w:sz w:val="24"/>
        </w:rPr>
        <w:t>80</w:t>
      </w:r>
      <w:r>
        <w:rPr>
          <w:rFonts w:hint="eastAsia" w:ascii="宋体" w:hAnsi="宋体" w:eastAsia="宋体"/>
          <w:sz w:val="24"/>
        </w:rPr>
        <w:t>分以上（含），则第二年续签，以此类推，可续签至五年，之后经双方协商，选择是否续签。</w:t>
      </w:r>
    </w:p>
    <w:p>
      <w:pPr>
        <w:adjustRightInd w:val="0"/>
        <w:snapToGrid w:val="0"/>
        <w:jc w:val="center"/>
        <w:rPr>
          <w:rFonts w:ascii="宋体" w:hAnsi="宋体" w:eastAsia="宋体"/>
          <w:b/>
          <w:sz w:val="24"/>
        </w:rPr>
      </w:pPr>
      <w:r>
        <w:rPr>
          <w:rFonts w:hint="eastAsia" w:ascii="宋体" w:hAnsi="宋体" w:eastAsia="宋体" w:cstheme="minorEastAsia"/>
          <w:b/>
          <w:kern w:val="0"/>
          <w:sz w:val="24"/>
        </w:rPr>
        <w:t>表1  质控管理</w:t>
      </w:r>
      <w:r>
        <w:rPr>
          <w:rFonts w:hint="eastAsia" w:ascii="宋体" w:hAnsi="宋体" w:eastAsia="宋体"/>
          <w:b/>
          <w:sz w:val="24"/>
        </w:rPr>
        <w:t>项目点位表</w:t>
      </w:r>
    </w:p>
    <w:tbl>
      <w:tblPr>
        <w:tblStyle w:val="25"/>
        <w:tblpPr w:leftFromText="180" w:rightFromText="180" w:vertAnchor="text" w:horzAnchor="page" w:tblpXSpec="center" w:tblpY="23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972"/>
        <w:gridCol w:w="2880"/>
        <w:gridCol w:w="1368"/>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序号</w:t>
            </w:r>
          </w:p>
        </w:tc>
        <w:tc>
          <w:tcPr>
            <w:tcW w:w="972"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区县</w:t>
            </w:r>
          </w:p>
        </w:tc>
        <w:tc>
          <w:tcPr>
            <w:tcW w:w="2880"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断面名称</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水质类别</w:t>
            </w:r>
          </w:p>
        </w:tc>
        <w:tc>
          <w:tcPr>
            <w:tcW w:w="2498"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1</w:t>
            </w:r>
          </w:p>
        </w:tc>
        <w:tc>
          <w:tcPr>
            <w:tcW w:w="972"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天桥区</w:t>
            </w:r>
          </w:p>
        </w:tc>
        <w:tc>
          <w:tcPr>
            <w:tcW w:w="2880"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小清河生产路桥</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Ⅴ</w:t>
            </w:r>
          </w:p>
        </w:tc>
        <w:tc>
          <w:tcPr>
            <w:tcW w:w="2498" w:type="dxa"/>
            <w:noWrap/>
            <w:vAlign w:val="center"/>
          </w:tcPr>
          <w:p>
            <w:pPr>
              <w:jc w:val="center"/>
              <w:rPr>
                <w:rFonts w:ascii="宋体" w:hAnsi="宋体" w:eastAsia="宋体"/>
                <w:szCs w:val="21"/>
              </w:rPr>
            </w:pPr>
            <w:r>
              <w:rPr>
                <w:rFonts w:hint="eastAsia" w:ascii="宋体" w:hAnsi="宋体" w:eastAsia="宋体"/>
                <w:szCs w:val="21"/>
              </w:rPr>
              <w:t>国标法小型站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2</w:t>
            </w:r>
          </w:p>
        </w:tc>
        <w:tc>
          <w:tcPr>
            <w:tcW w:w="972"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历城区</w:t>
            </w:r>
          </w:p>
        </w:tc>
        <w:tc>
          <w:tcPr>
            <w:tcW w:w="2880"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小清河二环东路桥</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Ⅴ</w:t>
            </w:r>
          </w:p>
        </w:tc>
        <w:tc>
          <w:tcPr>
            <w:tcW w:w="2498" w:type="dxa"/>
            <w:noWrap/>
            <w:vAlign w:val="center"/>
          </w:tcPr>
          <w:p>
            <w:pPr>
              <w:jc w:val="center"/>
              <w:rPr>
                <w:rFonts w:ascii="宋体" w:hAnsi="宋体" w:eastAsia="宋体"/>
                <w:szCs w:val="21"/>
              </w:rPr>
            </w:pPr>
            <w:r>
              <w:rPr>
                <w:rFonts w:hint="eastAsia" w:ascii="宋体" w:hAnsi="宋体" w:eastAsia="宋体"/>
                <w:szCs w:val="21"/>
              </w:rPr>
              <w:t>国标法小型站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3</w:t>
            </w:r>
          </w:p>
        </w:tc>
        <w:tc>
          <w:tcPr>
            <w:tcW w:w="972"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天桥区</w:t>
            </w:r>
          </w:p>
        </w:tc>
        <w:tc>
          <w:tcPr>
            <w:tcW w:w="2880"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小清河板桥</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Ⅴ</w:t>
            </w:r>
          </w:p>
        </w:tc>
        <w:tc>
          <w:tcPr>
            <w:tcW w:w="2498" w:type="dxa"/>
            <w:noWrap/>
            <w:vAlign w:val="center"/>
          </w:tcPr>
          <w:p>
            <w:pPr>
              <w:jc w:val="center"/>
              <w:rPr>
                <w:rFonts w:ascii="宋体" w:hAnsi="宋体" w:eastAsia="宋体"/>
                <w:szCs w:val="21"/>
              </w:rP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4</w:t>
            </w:r>
          </w:p>
        </w:tc>
        <w:tc>
          <w:tcPr>
            <w:tcW w:w="972"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历城区</w:t>
            </w:r>
          </w:p>
        </w:tc>
        <w:tc>
          <w:tcPr>
            <w:tcW w:w="2880"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小清河洪园闸</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Ⅴ</w:t>
            </w:r>
          </w:p>
        </w:tc>
        <w:tc>
          <w:tcPr>
            <w:tcW w:w="2498" w:type="dxa"/>
            <w:noWrap/>
          </w:tcPr>
          <w:p>
            <w:pPr>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5</w:t>
            </w:r>
          </w:p>
        </w:tc>
        <w:tc>
          <w:tcPr>
            <w:tcW w:w="972"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章丘区</w:t>
            </w:r>
          </w:p>
        </w:tc>
        <w:tc>
          <w:tcPr>
            <w:tcW w:w="2880"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小清河辛丰庄</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Ⅴ</w:t>
            </w:r>
          </w:p>
        </w:tc>
        <w:tc>
          <w:tcPr>
            <w:tcW w:w="2498" w:type="dxa"/>
            <w:noWrap/>
          </w:tcPr>
          <w:p>
            <w:pPr>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6</w:t>
            </w:r>
          </w:p>
        </w:tc>
        <w:tc>
          <w:tcPr>
            <w:tcW w:w="972"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天桥区</w:t>
            </w:r>
          </w:p>
        </w:tc>
        <w:tc>
          <w:tcPr>
            <w:tcW w:w="2880"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西泺河入小清河口</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Ⅴ</w:t>
            </w:r>
          </w:p>
        </w:tc>
        <w:tc>
          <w:tcPr>
            <w:tcW w:w="2498" w:type="dxa"/>
            <w:noWrap/>
          </w:tcPr>
          <w:p>
            <w:pPr>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7</w:t>
            </w:r>
          </w:p>
        </w:tc>
        <w:tc>
          <w:tcPr>
            <w:tcW w:w="972"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天桥区</w:t>
            </w:r>
          </w:p>
        </w:tc>
        <w:tc>
          <w:tcPr>
            <w:tcW w:w="2880"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东泺河入小清河口</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Ⅴ</w:t>
            </w:r>
          </w:p>
        </w:tc>
        <w:tc>
          <w:tcPr>
            <w:tcW w:w="2498" w:type="dxa"/>
            <w:noWrap/>
          </w:tcPr>
          <w:p>
            <w:pPr>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8</w:t>
            </w:r>
          </w:p>
        </w:tc>
        <w:tc>
          <w:tcPr>
            <w:tcW w:w="972"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天桥区</w:t>
            </w:r>
          </w:p>
        </w:tc>
        <w:tc>
          <w:tcPr>
            <w:tcW w:w="2880"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后引河入小清河口</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Ⅴ</w:t>
            </w:r>
          </w:p>
        </w:tc>
        <w:tc>
          <w:tcPr>
            <w:tcW w:w="2498" w:type="dxa"/>
            <w:noWrap/>
          </w:tcPr>
          <w:p>
            <w:pPr>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9</w:t>
            </w:r>
          </w:p>
        </w:tc>
        <w:tc>
          <w:tcPr>
            <w:tcW w:w="972"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历城区</w:t>
            </w:r>
          </w:p>
        </w:tc>
        <w:tc>
          <w:tcPr>
            <w:tcW w:w="2880"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小汉峪沟入小清河口</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Ⅴ</w:t>
            </w:r>
          </w:p>
        </w:tc>
        <w:tc>
          <w:tcPr>
            <w:tcW w:w="2498" w:type="dxa"/>
            <w:noWrap/>
          </w:tcPr>
          <w:p>
            <w:pPr>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10</w:t>
            </w:r>
          </w:p>
        </w:tc>
        <w:tc>
          <w:tcPr>
            <w:tcW w:w="972"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平阴县</w:t>
            </w:r>
          </w:p>
        </w:tc>
        <w:tc>
          <w:tcPr>
            <w:tcW w:w="2880"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锦水河城西洼</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Ⅳ</w:t>
            </w:r>
          </w:p>
        </w:tc>
        <w:tc>
          <w:tcPr>
            <w:tcW w:w="2498" w:type="dxa"/>
            <w:noWrap/>
          </w:tcPr>
          <w:p>
            <w:pPr>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11</w:t>
            </w:r>
          </w:p>
        </w:tc>
        <w:tc>
          <w:tcPr>
            <w:tcW w:w="972"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长清区</w:t>
            </w:r>
          </w:p>
        </w:tc>
        <w:tc>
          <w:tcPr>
            <w:tcW w:w="2880" w:type="dxa"/>
            <w:noWrap/>
            <w:vAlign w:val="center"/>
          </w:tcPr>
          <w:p>
            <w:pPr>
              <w:widowControl/>
              <w:jc w:val="center"/>
              <w:rPr>
                <w:rFonts w:ascii="宋体" w:hAnsi="宋体" w:eastAsia="宋体" w:cstheme="minorEastAsia"/>
                <w:szCs w:val="21"/>
              </w:rPr>
            </w:pPr>
            <w:r>
              <w:rPr>
                <w:rFonts w:hint="eastAsia" w:ascii="宋体" w:hAnsi="宋体" w:eastAsia="宋体" w:cstheme="minorEastAsia"/>
                <w:szCs w:val="21"/>
              </w:rPr>
              <w:t>北大沙河老王府</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Ⅳ</w:t>
            </w:r>
          </w:p>
        </w:tc>
        <w:tc>
          <w:tcPr>
            <w:tcW w:w="2498" w:type="dxa"/>
            <w:noWrap/>
          </w:tcPr>
          <w:p>
            <w:pPr>
              <w:jc w:val="center"/>
            </w:pPr>
            <w:r>
              <w:rPr>
                <w:rFonts w:hint="eastAsia" w:ascii="宋体" w:hAnsi="宋体" w:eastAsia="宋体"/>
                <w:szCs w:val="21"/>
              </w:rPr>
              <w:t>非国标法微型站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noWrap/>
            <w:vAlign w:val="center"/>
          </w:tcPr>
          <w:p>
            <w:pPr>
              <w:jc w:val="center"/>
              <w:rPr>
                <w:rFonts w:ascii="宋体" w:hAnsi="宋体" w:eastAsia="宋体" w:cstheme="minorEastAsia"/>
                <w:szCs w:val="21"/>
              </w:rPr>
            </w:pPr>
            <w:r>
              <w:rPr>
                <w:rFonts w:ascii="宋体" w:hAnsi="宋体" w:eastAsia="宋体" w:cstheme="minorEastAsia"/>
                <w:szCs w:val="21"/>
              </w:rPr>
              <w:t>12</w:t>
            </w:r>
          </w:p>
        </w:tc>
        <w:tc>
          <w:tcPr>
            <w:tcW w:w="972"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钢城区</w:t>
            </w:r>
          </w:p>
        </w:tc>
        <w:tc>
          <w:tcPr>
            <w:tcW w:w="2880"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牟汶河寨子河桥</w:t>
            </w:r>
          </w:p>
        </w:tc>
        <w:tc>
          <w:tcPr>
            <w:tcW w:w="1368" w:type="dxa"/>
            <w:noWrap/>
            <w:vAlign w:val="center"/>
          </w:tcPr>
          <w:p>
            <w:pPr>
              <w:jc w:val="center"/>
              <w:rPr>
                <w:rFonts w:ascii="宋体" w:hAnsi="宋体" w:eastAsia="宋体" w:cstheme="minorEastAsia"/>
                <w:szCs w:val="21"/>
              </w:rPr>
            </w:pPr>
            <w:r>
              <w:rPr>
                <w:rFonts w:hint="eastAsia" w:ascii="宋体" w:hAnsi="宋体" w:eastAsia="宋体" w:cstheme="minorEastAsia"/>
                <w:szCs w:val="21"/>
              </w:rPr>
              <w:t>Ⅲ</w:t>
            </w:r>
          </w:p>
        </w:tc>
        <w:tc>
          <w:tcPr>
            <w:tcW w:w="2498" w:type="dxa"/>
            <w:noWrap/>
          </w:tcPr>
          <w:p>
            <w:pPr>
              <w:jc w:val="center"/>
            </w:pPr>
            <w:r>
              <w:rPr>
                <w:rFonts w:hint="eastAsia" w:ascii="宋体" w:hAnsi="宋体" w:eastAsia="宋体"/>
                <w:szCs w:val="21"/>
              </w:rPr>
              <w:t>非国标法微型站</w:t>
            </w:r>
          </w:p>
        </w:tc>
      </w:tr>
    </w:tbl>
    <w:p>
      <w:pPr>
        <w:spacing w:line="360" w:lineRule="auto"/>
        <w:rPr>
          <w:rFonts w:ascii="宋体" w:hAnsi="宋体" w:eastAsia="宋体"/>
          <w:sz w:val="24"/>
        </w:rPr>
      </w:pPr>
    </w:p>
    <w:p>
      <w:pPr>
        <w:spacing w:line="360" w:lineRule="auto"/>
        <w:rPr>
          <w:rFonts w:ascii="宋体" w:hAnsi="宋体" w:eastAsia="宋体"/>
          <w:b/>
          <w:sz w:val="30"/>
          <w:szCs w:val="30"/>
        </w:rPr>
      </w:pPr>
      <w:r>
        <w:rPr>
          <w:rFonts w:hint="eastAsia" w:ascii="宋体" w:hAnsi="宋体" w:eastAsia="宋体"/>
          <w:b/>
          <w:sz w:val="30"/>
          <w:szCs w:val="30"/>
        </w:rPr>
        <w:t>二、项目总体要求</w:t>
      </w:r>
    </w:p>
    <w:p>
      <w:pPr>
        <w:spacing w:line="360" w:lineRule="auto"/>
        <w:rPr>
          <w:rFonts w:ascii="宋体" w:hAnsi="宋体" w:eastAsia="宋体"/>
          <w:sz w:val="24"/>
        </w:rPr>
      </w:pPr>
      <w:r>
        <w:rPr>
          <w:rFonts w:hint="eastAsia" w:ascii="宋体" w:hAnsi="宋体" w:eastAsia="宋体"/>
          <w:sz w:val="24"/>
        </w:rPr>
        <w:t>1.</w:t>
      </w:r>
      <w:r>
        <w:rPr>
          <w:rFonts w:hint="eastAsia" w:ascii="宋体" w:hAnsi="宋体" w:eastAsia="宋体" w:cs="宋体"/>
          <w:sz w:val="24"/>
        </w:rPr>
        <w:t>水站质控是水质自动监测数据准确性、精密性、完整性的质量保证，所使用的现场质控和实验室分析仪器方法应是标准方法，所有方法都能够溯源到国家相关标准。</w:t>
      </w:r>
    </w:p>
    <w:p>
      <w:pPr>
        <w:spacing w:line="360" w:lineRule="auto"/>
        <w:rPr>
          <w:rFonts w:ascii="宋体" w:hAnsi="宋体" w:eastAsia="宋体" w:cs="宋体"/>
          <w:sz w:val="24"/>
        </w:rPr>
      </w:pPr>
      <w:r>
        <w:rPr>
          <w:rFonts w:hint="eastAsia" w:ascii="宋体" w:hAnsi="宋体" w:eastAsia="宋体"/>
          <w:sz w:val="24"/>
        </w:rPr>
        <w:t>2.</w:t>
      </w:r>
      <w:r>
        <w:rPr>
          <w:rFonts w:hint="eastAsia" w:ascii="宋体" w:hAnsi="宋体" w:eastAsia="宋体" w:cs="宋体"/>
          <w:sz w:val="24"/>
        </w:rPr>
        <w:t>中标商在本地设置办事处，配备至少2名中标水站质控人员、1辆车辆，人员持证上岗。</w:t>
      </w:r>
    </w:p>
    <w:p>
      <w:pPr>
        <w:spacing w:line="360" w:lineRule="auto"/>
        <w:rPr>
          <w:rFonts w:ascii="宋体" w:hAnsi="宋体" w:eastAsia="宋体" w:cs="宋体"/>
          <w:sz w:val="24"/>
        </w:rPr>
      </w:pPr>
      <w:r>
        <w:rPr>
          <w:rFonts w:hint="eastAsia" w:ascii="宋体" w:hAnsi="宋体" w:eastAsia="宋体"/>
          <w:sz w:val="24"/>
        </w:rPr>
        <w:t>3.</w:t>
      </w:r>
      <w:r>
        <w:rPr>
          <w:rFonts w:hint="eastAsia" w:ascii="宋体" w:hAnsi="宋体" w:eastAsia="宋体" w:cs="宋体"/>
          <w:sz w:val="24"/>
        </w:rPr>
        <w:t>根据国家、省市有关水质自动监测系统质量保证和质控的要求，执行定期全面覆盖核查，开展水质自动监测数据的质控。每月对设备状态、运行台账等进行审核，每季度对设备性能考核，必要时对重点站点额外进行重点检查，检查自动监测系统是否存在不正常运行、弄虚作假等行为。</w:t>
      </w:r>
    </w:p>
    <w:p>
      <w:pPr>
        <w:spacing w:line="360" w:lineRule="auto"/>
        <w:rPr>
          <w:rFonts w:ascii="宋体" w:hAnsi="宋体" w:eastAsia="宋体"/>
          <w:bCs/>
          <w:kern w:val="0"/>
          <w:sz w:val="24"/>
        </w:rPr>
      </w:pPr>
      <w:r>
        <w:rPr>
          <w:rFonts w:hint="eastAsia" w:ascii="宋体" w:hAnsi="宋体" w:eastAsia="宋体"/>
          <w:bCs/>
          <w:kern w:val="0"/>
          <w:sz w:val="24"/>
        </w:rPr>
        <w:t>4.质控单位月底前提供下月质控计划，每月10日前提供上月质控报告。</w:t>
      </w:r>
    </w:p>
    <w:p>
      <w:pPr>
        <w:spacing w:line="360" w:lineRule="auto"/>
        <w:rPr>
          <w:rFonts w:ascii="宋体" w:hAnsi="宋体" w:eastAsia="宋体"/>
          <w:sz w:val="24"/>
        </w:rPr>
      </w:pPr>
      <w:r>
        <w:rPr>
          <w:rFonts w:hint="eastAsia" w:ascii="宋体" w:hAnsi="宋体" w:eastAsia="宋体"/>
          <w:bCs/>
          <w:kern w:val="0"/>
          <w:sz w:val="24"/>
        </w:rPr>
        <w:t>5.</w:t>
      </w:r>
      <w:r>
        <w:rPr>
          <w:rFonts w:ascii="宋体" w:hAnsi="宋体" w:eastAsia="宋体"/>
          <w:sz w:val="24"/>
        </w:rPr>
        <w:t>全程序全过程留痕，所有质控</w:t>
      </w:r>
      <w:r>
        <w:rPr>
          <w:rFonts w:hint="eastAsia" w:ascii="宋体" w:hAnsi="宋体" w:eastAsia="宋体"/>
          <w:sz w:val="24"/>
        </w:rPr>
        <w:t>工作</w:t>
      </w:r>
      <w:r>
        <w:rPr>
          <w:rFonts w:ascii="宋体" w:hAnsi="宋体" w:eastAsia="宋体"/>
          <w:sz w:val="24"/>
        </w:rPr>
        <w:t>均需形成记录。</w:t>
      </w:r>
    </w:p>
    <w:p>
      <w:pPr>
        <w:spacing w:line="360" w:lineRule="auto"/>
        <w:rPr>
          <w:rFonts w:ascii="宋体" w:hAnsi="宋体" w:eastAsia="宋体"/>
          <w:sz w:val="24"/>
        </w:rPr>
      </w:pPr>
      <w:r>
        <w:rPr>
          <w:rFonts w:hint="eastAsia" w:ascii="宋体" w:hAnsi="宋体" w:eastAsia="宋体"/>
          <w:sz w:val="24"/>
        </w:rPr>
        <w:t>三、项目工作依据</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w:t>
      </w:r>
      <w:r>
        <w:rPr>
          <w:rFonts w:ascii="宋体" w:hAnsi="宋体" w:eastAsia="宋体"/>
          <w:kern w:val="0"/>
          <w:sz w:val="24"/>
        </w:rPr>
        <w:t>《水和废水监测分析方法》（第四版）</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2．</w:t>
      </w:r>
      <w:r>
        <w:rPr>
          <w:rFonts w:ascii="宋体" w:hAnsi="宋体" w:eastAsia="宋体"/>
          <w:kern w:val="0"/>
          <w:sz w:val="24"/>
        </w:rPr>
        <w:t>《环境水质监测质量保证手册》（第二版）</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3．</w:t>
      </w:r>
      <w:r>
        <w:rPr>
          <w:rFonts w:ascii="宋体" w:hAnsi="宋体" w:eastAsia="宋体"/>
          <w:kern w:val="0"/>
          <w:sz w:val="24"/>
        </w:rPr>
        <w:t>《地表水环境质量标准》（GB3838-2002）</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4．</w:t>
      </w:r>
      <w:r>
        <w:rPr>
          <w:rFonts w:ascii="宋体" w:hAnsi="宋体" w:eastAsia="宋体"/>
          <w:kern w:val="0"/>
          <w:sz w:val="24"/>
        </w:rPr>
        <w:t>《中华人民共和国环境保护行业标准》（HJ/T98-2003）</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5．</w:t>
      </w:r>
      <w:r>
        <w:rPr>
          <w:rFonts w:ascii="宋体" w:hAnsi="宋体" w:eastAsia="宋体"/>
          <w:kern w:val="0"/>
          <w:sz w:val="24"/>
        </w:rPr>
        <w:t>《地表水和污水监测技术规范》（HJ/T 91-2002）</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6．</w:t>
      </w:r>
      <w:r>
        <w:rPr>
          <w:rFonts w:ascii="宋体" w:hAnsi="宋体" w:eastAsia="宋体"/>
          <w:kern w:val="0"/>
          <w:sz w:val="24"/>
        </w:rPr>
        <w:t>《水质 河流采样技术指导》（HJ/T 52-1999）</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7．</w:t>
      </w:r>
      <w:r>
        <w:rPr>
          <w:rFonts w:ascii="宋体" w:hAnsi="宋体" w:eastAsia="宋体"/>
          <w:kern w:val="0"/>
          <w:sz w:val="24"/>
        </w:rPr>
        <w:t>《地表水自动监测技术规范》</w:t>
      </w:r>
      <w:r>
        <w:rPr>
          <w:rFonts w:hint="eastAsia" w:ascii="宋体" w:hAnsi="宋体" w:eastAsia="宋体"/>
          <w:sz w:val="24"/>
        </w:rPr>
        <w:t>（</w:t>
      </w:r>
      <w:r>
        <w:rPr>
          <w:rFonts w:ascii="宋体" w:hAnsi="宋体" w:eastAsia="宋体"/>
          <w:kern w:val="0"/>
          <w:sz w:val="24"/>
        </w:rPr>
        <w:t>HJ 915-2017</w:t>
      </w:r>
      <w:r>
        <w:rPr>
          <w:rFonts w:hint="eastAsia" w:ascii="宋体" w:hAnsi="宋体" w:eastAsia="宋体"/>
          <w:sz w:val="24"/>
        </w:rPr>
        <w:t>）</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8．</w:t>
      </w:r>
      <w:r>
        <w:rPr>
          <w:rFonts w:ascii="宋体" w:hAnsi="宋体" w:eastAsia="宋体"/>
          <w:kern w:val="0"/>
          <w:sz w:val="24"/>
        </w:rPr>
        <w:t>《山东省小清河流域水污染物综合排放标准》（DB37656-2006）</w:t>
      </w:r>
    </w:p>
    <w:p>
      <w:pPr>
        <w:tabs>
          <w:tab w:val="left" w:pos="1435"/>
        </w:tabs>
        <w:autoSpaceDE w:val="0"/>
        <w:autoSpaceDN w:val="0"/>
        <w:spacing w:line="360" w:lineRule="auto"/>
        <w:jc w:val="left"/>
        <w:rPr>
          <w:rFonts w:ascii="宋体" w:hAnsi="宋体" w:eastAsia="宋体"/>
          <w:kern w:val="0"/>
          <w:sz w:val="24"/>
        </w:rPr>
      </w:pPr>
      <w:r>
        <w:rPr>
          <w:rFonts w:hint="eastAsia" w:ascii="宋体" w:hAnsi="宋体" w:eastAsia="宋体"/>
          <w:kern w:val="0"/>
          <w:sz w:val="24"/>
        </w:rPr>
        <w:t>9．</w:t>
      </w:r>
      <w:r>
        <w:rPr>
          <w:rFonts w:ascii="宋体" w:hAnsi="宋体" w:eastAsia="宋体"/>
          <w:kern w:val="0"/>
          <w:sz w:val="24"/>
        </w:rPr>
        <w:t>《氨氮水质自动分析仪技术要求》（HJ/T101-2003）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0</w:t>
      </w:r>
      <w:r>
        <w:rPr>
          <w:rFonts w:ascii="宋体" w:hAnsi="宋体" w:eastAsia="宋体"/>
          <w:kern w:val="0"/>
          <w:sz w:val="24"/>
        </w:rPr>
        <w:t>.</w:t>
      </w:r>
      <w:r>
        <w:rPr>
          <w:rFonts w:ascii="宋体" w:hAnsi="宋体" w:eastAsia="宋体"/>
          <w:sz w:val="24"/>
        </w:rPr>
        <w:t>《化学需氧量水质自动分析仪技术要求》（HJ/T100-2003）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1</w:t>
      </w:r>
      <w:r>
        <w:rPr>
          <w:rFonts w:ascii="宋体" w:hAnsi="宋体" w:eastAsia="宋体"/>
          <w:kern w:val="0"/>
          <w:sz w:val="24"/>
        </w:rPr>
        <w:t>.《PH水质自动分析仪技术要求》（HJ/T96-2003）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2.</w:t>
      </w:r>
      <w:r>
        <w:rPr>
          <w:rFonts w:ascii="宋体" w:hAnsi="宋体" w:eastAsia="宋体"/>
          <w:kern w:val="0"/>
          <w:sz w:val="24"/>
        </w:rPr>
        <w:t>《溶解氧（DO）水质自动分析仪技术要求》（HJ/T99-2003）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3.</w:t>
      </w:r>
      <w:r>
        <w:rPr>
          <w:rFonts w:ascii="宋体" w:hAnsi="宋体" w:eastAsia="宋体"/>
          <w:kern w:val="0"/>
          <w:sz w:val="24"/>
        </w:rPr>
        <w:t>《电导率水质自动分析仪技术要求》（HJ/T97-2003）</w:t>
      </w:r>
    </w:p>
    <w:p>
      <w:pPr>
        <w:tabs>
          <w:tab w:val="left" w:pos="1435"/>
        </w:tabs>
        <w:autoSpaceDE w:val="0"/>
        <w:autoSpaceDN w:val="0"/>
        <w:spacing w:line="360" w:lineRule="auto"/>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4.</w:t>
      </w:r>
      <w:r>
        <w:rPr>
          <w:rFonts w:ascii="宋体" w:hAnsi="宋体" w:eastAsia="宋体"/>
          <w:kern w:val="0"/>
          <w:sz w:val="24"/>
        </w:rPr>
        <w:t>《浊度水质自动分析仪技术要求》（HJ/T98-2003）</w:t>
      </w:r>
    </w:p>
    <w:p>
      <w:pPr>
        <w:tabs>
          <w:tab w:val="left" w:pos="1435"/>
        </w:tabs>
        <w:autoSpaceDE w:val="0"/>
        <w:autoSpaceDN w:val="0"/>
        <w:spacing w:line="360" w:lineRule="auto"/>
        <w:jc w:val="left"/>
        <w:rPr>
          <w:rFonts w:ascii="宋体" w:hAnsi="宋体" w:eastAsia="宋体"/>
          <w:sz w:val="24"/>
        </w:rPr>
      </w:pPr>
      <w:r>
        <w:rPr>
          <w:rFonts w:hint="eastAsia" w:ascii="宋体" w:hAnsi="宋体" w:eastAsia="宋体"/>
          <w:sz w:val="24"/>
        </w:rPr>
        <w:t>15.国家《地表水水质自动监测站运行维护技术规范》（试行）</w:t>
      </w:r>
    </w:p>
    <w:p>
      <w:pPr>
        <w:spacing w:line="360" w:lineRule="auto"/>
        <w:rPr>
          <w:rFonts w:ascii="宋体" w:hAnsi="宋体" w:eastAsia="宋体"/>
          <w:sz w:val="24"/>
        </w:rPr>
      </w:pPr>
      <w:r>
        <w:rPr>
          <w:rFonts w:hint="eastAsia" w:ascii="宋体" w:hAnsi="宋体" w:eastAsia="宋体"/>
          <w:sz w:val="24"/>
        </w:rPr>
        <w:t>16.国家《地表水水质自动监测站安装验收技术规范》（试行）</w:t>
      </w:r>
    </w:p>
    <w:p>
      <w:pPr>
        <w:spacing w:line="360" w:lineRule="auto"/>
        <w:rPr>
          <w:rFonts w:ascii="宋体" w:hAnsi="宋体" w:eastAsia="宋体"/>
          <w:sz w:val="24"/>
        </w:rPr>
      </w:pPr>
      <w:r>
        <w:rPr>
          <w:rFonts w:hint="eastAsia" w:ascii="宋体" w:hAnsi="宋体" w:eastAsia="宋体"/>
          <w:sz w:val="24"/>
        </w:rPr>
        <w:t>17.《国家地表水环境质量自动监测站运行管理办法》（2017年4月）</w:t>
      </w:r>
    </w:p>
    <w:p>
      <w:pPr>
        <w:spacing w:line="360" w:lineRule="auto"/>
        <w:rPr>
          <w:rFonts w:ascii="宋体" w:hAnsi="宋体" w:eastAsia="宋体"/>
          <w:b/>
          <w:sz w:val="30"/>
          <w:szCs w:val="30"/>
        </w:rPr>
      </w:pPr>
      <w:r>
        <w:rPr>
          <w:rFonts w:hint="eastAsia" w:ascii="宋体" w:hAnsi="宋体" w:eastAsia="宋体" w:cs="宋体"/>
          <w:b/>
          <w:sz w:val="30"/>
          <w:szCs w:val="30"/>
        </w:rPr>
        <w:t>四、项目工作要求</w:t>
      </w:r>
    </w:p>
    <w:p>
      <w:pPr>
        <w:spacing w:line="360" w:lineRule="auto"/>
        <w:ind w:firstLine="480" w:firstLineChars="200"/>
        <w:rPr>
          <w:rFonts w:ascii="宋体" w:hAnsi="宋体" w:eastAsia="宋体"/>
          <w:bCs/>
          <w:kern w:val="0"/>
          <w:sz w:val="24"/>
        </w:rPr>
      </w:pPr>
      <w:r>
        <w:rPr>
          <w:rFonts w:hint="eastAsia" w:ascii="宋体" w:hAnsi="宋体" w:eastAsia="宋体"/>
          <w:bCs/>
          <w:kern w:val="0"/>
          <w:sz w:val="24"/>
        </w:rPr>
        <w:t>质控单位每月完成</w:t>
      </w:r>
      <w:r>
        <w:rPr>
          <w:rFonts w:hint="eastAsia" w:ascii="宋体" w:hAnsi="宋体" w:eastAsia="宋体" w:cstheme="minorEastAsia"/>
          <w:kern w:val="0"/>
          <w:sz w:val="24"/>
        </w:rPr>
        <w:t>12个水站</w:t>
      </w:r>
      <w:r>
        <w:rPr>
          <w:rFonts w:hint="eastAsia" w:ascii="宋体" w:hAnsi="宋体" w:eastAsia="宋体"/>
          <w:bCs/>
          <w:kern w:val="0"/>
          <w:sz w:val="24"/>
        </w:rPr>
        <w:t>一个轮次质控核查，每季度完成一个轮次人工比对。</w:t>
      </w:r>
    </w:p>
    <w:p>
      <w:pPr>
        <w:spacing w:line="360" w:lineRule="auto"/>
        <w:rPr>
          <w:rFonts w:ascii="宋体" w:hAnsi="宋体" w:eastAsia="宋体"/>
          <w:b/>
          <w:bCs/>
          <w:kern w:val="0"/>
          <w:sz w:val="24"/>
        </w:rPr>
      </w:pPr>
      <w:r>
        <w:rPr>
          <w:rFonts w:hint="eastAsia" w:ascii="宋体" w:hAnsi="宋体" w:eastAsia="宋体"/>
          <w:b/>
          <w:bCs/>
          <w:kern w:val="0"/>
          <w:sz w:val="24"/>
        </w:rPr>
        <w:t>1.每月对水站环境保护及采水系统检查</w:t>
      </w:r>
    </w:p>
    <w:p>
      <w:pPr>
        <w:spacing w:line="360" w:lineRule="auto"/>
        <w:ind w:firstLine="480" w:firstLineChars="200"/>
        <w:rPr>
          <w:rFonts w:ascii="宋体" w:hAnsi="宋体" w:eastAsia="宋体"/>
          <w:sz w:val="24"/>
        </w:rPr>
      </w:pPr>
      <w:r>
        <w:rPr>
          <w:rFonts w:hint="eastAsia" w:ascii="宋体" w:hAnsi="宋体" w:eastAsia="宋体"/>
          <w:bCs/>
          <w:kern w:val="0"/>
          <w:sz w:val="24"/>
        </w:rPr>
        <w:t>检查站房环境、站房温度、防水、防火、防雷、外接电源及其他基础设施是否满足监测要求。检查采水系统是否满足规范要求，采样管路是否清洁。</w:t>
      </w:r>
    </w:p>
    <w:p>
      <w:pPr>
        <w:spacing w:line="360" w:lineRule="auto"/>
        <w:rPr>
          <w:rFonts w:ascii="宋体" w:hAnsi="宋体" w:eastAsia="宋体"/>
          <w:b/>
          <w:bCs/>
          <w:kern w:val="0"/>
          <w:sz w:val="24"/>
        </w:rPr>
      </w:pPr>
      <w:r>
        <w:rPr>
          <w:rFonts w:hint="eastAsia" w:ascii="宋体" w:hAnsi="宋体" w:eastAsia="宋体"/>
          <w:b/>
          <w:bCs/>
          <w:kern w:val="0"/>
          <w:sz w:val="24"/>
        </w:rPr>
        <w:t>2.每月对仪器日常维护情况检查</w:t>
      </w:r>
    </w:p>
    <w:p>
      <w:pPr>
        <w:spacing w:line="360" w:lineRule="auto"/>
        <w:ind w:firstLine="480" w:firstLineChars="200"/>
        <w:rPr>
          <w:rFonts w:ascii="宋体" w:hAnsi="宋体" w:eastAsia="宋体"/>
          <w:sz w:val="24"/>
        </w:rPr>
      </w:pPr>
      <w:r>
        <w:rPr>
          <w:rFonts w:hint="eastAsia" w:ascii="宋体" w:hAnsi="宋体" w:eastAsia="宋体"/>
          <w:bCs/>
          <w:kern w:val="0"/>
          <w:sz w:val="24"/>
        </w:rPr>
        <w:t>仪器工作状态是否正常，是否存在报警信息；</w:t>
      </w:r>
      <w:r>
        <w:rPr>
          <w:rFonts w:hint="eastAsia" w:ascii="宋体" w:hAnsi="宋体" w:eastAsia="宋体" w:cs="宋体"/>
          <w:sz w:val="24"/>
        </w:rPr>
        <w:t>按照仪器设备说明书规定，设备各参数有无更改；</w:t>
      </w:r>
      <w:r>
        <w:rPr>
          <w:rFonts w:hint="eastAsia" w:ascii="宋体" w:hAnsi="宋体" w:eastAsia="宋体"/>
          <w:bCs/>
          <w:kern w:val="0"/>
          <w:sz w:val="24"/>
        </w:rPr>
        <w:t>相关耗材是否及时更换；通讯系统能否正常采集数据并上传平台；运营单位是否按照规范要求填写运营记录，记录是否规范和齐全。</w:t>
      </w:r>
    </w:p>
    <w:p>
      <w:pPr>
        <w:spacing w:line="360" w:lineRule="auto"/>
        <w:rPr>
          <w:rFonts w:ascii="宋体" w:hAnsi="宋体" w:eastAsia="宋体"/>
          <w:b/>
          <w:sz w:val="24"/>
        </w:rPr>
      </w:pPr>
      <w:r>
        <w:rPr>
          <w:rFonts w:hint="eastAsia" w:ascii="宋体" w:hAnsi="宋体" w:eastAsia="宋体"/>
          <w:b/>
          <w:sz w:val="24"/>
        </w:rPr>
        <w:t>3.</w:t>
      </w:r>
      <w:r>
        <w:rPr>
          <w:rFonts w:hint="eastAsia" w:ascii="宋体" w:hAnsi="宋体" w:eastAsia="宋体"/>
          <w:b/>
          <w:bCs/>
          <w:kern w:val="0"/>
          <w:sz w:val="24"/>
        </w:rPr>
        <w:t>每月化学需氧量和氨氮标准样品核查</w:t>
      </w:r>
    </w:p>
    <w:p>
      <w:pPr>
        <w:spacing w:line="360" w:lineRule="auto"/>
        <w:ind w:firstLine="480" w:firstLineChars="200"/>
        <w:rPr>
          <w:rFonts w:ascii="宋体" w:hAnsi="宋体" w:eastAsia="宋体" w:cs="宋体"/>
          <w:sz w:val="24"/>
        </w:rPr>
      </w:pPr>
      <w:r>
        <w:rPr>
          <w:rFonts w:hint="eastAsia" w:ascii="宋体" w:hAnsi="宋体" w:eastAsia="宋体"/>
          <w:sz w:val="24"/>
        </w:rPr>
        <w:t>每月</w:t>
      </w:r>
      <w:r>
        <w:rPr>
          <w:rFonts w:hint="eastAsia" w:ascii="宋体" w:hAnsi="宋体" w:eastAsia="宋体"/>
          <w:bCs/>
          <w:kern w:val="0"/>
          <w:sz w:val="24"/>
        </w:rPr>
        <w:t>完成济南市</w:t>
      </w:r>
      <w:r>
        <w:rPr>
          <w:rFonts w:hint="eastAsia" w:ascii="宋体" w:hAnsi="宋体" w:eastAsia="宋体" w:cstheme="minorEastAsia"/>
          <w:kern w:val="0"/>
          <w:sz w:val="24"/>
        </w:rPr>
        <w:t>12个水站</w:t>
      </w:r>
      <w:r>
        <w:rPr>
          <w:rFonts w:hint="eastAsia" w:ascii="宋体" w:hAnsi="宋体" w:eastAsia="宋体"/>
          <w:bCs/>
          <w:kern w:val="0"/>
          <w:sz w:val="24"/>
        </w:rPr>
        <w:t>一个轮次化学需氧量和氨氮的标准样品核查，相对误差在</w:t>
      </w:r>
      <w:r>
        <w:rPr>
          <w:rFonts w:ascii="宋体" w:hAnsi="宋体" w:eastAsia="宋体"/>
          <w:bCs/>
          <w:kern w:val="0"/>
          <w:sz w:val="24"/>
        </w:rPr>
        <w:t>±</w:t>
      </w:r>
      <w:r>
        <w:rPr>
          <w:rFonts w:hint="eastAsia" w:ascii="宋体" w:hAnsi="宋体" w:eastAsia="宋体"/>
          <w:bCs/>
          <w:kern w:val="0"/>
          <w:sz w:val="24"/>
        </w:rPr>
        <w:t>10</w:t>
      </w:r>
      <w:r>
        <w:rPr>
          <w:rFonts w:ascii="宋体" w:hAnsi="宋体" w:eastAsia="宋体"/>
          <w:bCs/>
          <w:kern w:val="0"/>
          <w:sz w:val="24"/>
        </w:rPr>
        <w:t>%</w:t>
      </w:r>
      <w:r>
        <w:rPr>
          <w:rFonts w:hint="eastAsia" w:ascii="宋体" w:hAnsi="宋体" w:eastAsia="宋体"/>
          <w:bCs/>
          <w:kern w:val="0"/>
          <w:sz w:val="24"/>
        </w:rPr>
        <w:t>以内合格，</w:t>
      </w:r>
      <w:r>
        <w:rPr>
          <w:rFonts w:hint="eastAsia" w:ascii="宋体" w:hAnsi="宋体" w:eastAsia="宋体" w:cs="宋体"/>
          <w:sz w:val="24"/>
        </w:rPr>
        <w:t>如质控考核不合格，应督促运营公司查找原因，并在考核结束的</w:t>
      </w:r>
      <w:r>
        <w:rPr>
          <w:rFonts w:ascii="宋体" w:hAnsi="宋体" w:eastAsia="宋体"/>
          <w:b/>
          <w:bCs/>
          <w:kern w:val="0"/>
          <w:sz w:val="24"/>
        </w:rPr>
        <w:t>48</w:t>
      </w:r>
      <w:r>
        <w:rPr>
          <w:rFonts w:hint="eastAsia" w:ascii="宋体" w:hAnsi="宋体" w:eastAsia="宋体" w:cs="宋体"/>
          <w:sz w:val="24"/>
        </w:rPr>
        <w:t>小时内完成补测，如补测仍不合格则仪器视为故障，应督促运营公司更换仪器备机或者开展手工补测工作。质控考核不合格的数据直至下次测试合格前均按无效数据剔除。质控考核使用的标准样品由质控单位提供，</w:t>
      </w:r>
      <w:r>
        <w:rPr>
          <w:rFonts w:ascii="宋体" w:hAnsi="宋体" w:eastAsia="宋体"/>
          <w:sz w:val="24"/>
        </w:rPr>
        <w:t>提供</w:t>
      </w:r>
      <w:r>
        <w:rPr>
          <w:rFonts w:hint="eastAsia" w:ascii="宋体" w:hAnsi="宋体" w:eastAsia="宋体" w:cs="宋体"/>
          <w:sz w:val="24"/>
        </w:rPr>
        <w:t>标准样品</w:t>
      </w:r>
      <w:r>
        <w:rPr>
          <w:rFonts w:ascii="宋体" w:hAnsi="宋体" w:eastAsia="宋体"/>
          <w:sz w:val="24"/>
        </w:rPr>
        <w:t>的相关</w:t>
      </w:r>
      <w:r>
        <w:rPr>
          <w:rFonts w:hint="eastAsia" w:ascii="宋体" w:hAnsi="宋体" w:eastAsia="宋体"/>
          <w:sz w:val="24"/>
        </w:rPr>
        <w:t>溯源</w:t>
      </w:r>
      <w:r>
        <w:rPr>
          <w:rFonts w:ascii="宋体" w:hAnsi="宋体" w:eastAsia="宋体"/>
          <w:sz w:val="24"/>
        </w:rPr>
        <w:t>证</w:t>
      </w:r>
      <w:r>
        <w:rPr>
          <w:rFonts w:hint="eastAsia" w:ascii="宋体" w:hAnsi="宋体" w:eastAsia="宋体"/>
          <w:sz w:val="24"/>
        </w:rPr>
        <w:t>明</w:t>
      </w:r>
      <w:r>
        <w:rPr>
          <w:rFonts w:hint="eastAsia" w:ascii="宋体" w:hAnsi="宋体" w:eastAsia="宋体" w:cs="宋体"/>
          <w:sz w:val="24"/>
        </w:rPr>
        <w:t>。核查情况填写核查记录表。</w:t>
      </w:r>
    </w:p>
    <w:p>
      <w:pPr>
        <w:spacing w:line="360" w:lineRule="auto"/>
        <w:rPr>
          <w:rFonts w:ascii="宋体" w:hAnsi="宋体" w:eastAsia="宋体"/>
          <w:b/>
          <w:sz w:val="24"/>
        </w:rPr>
      </w:pPr>
      <w:r>
        <w:rPr>
          <w:rFonts w:hint="eastAsia" w:ascii="宋体" w:hAnsi="宋体" w:eastAsia="宋体"/>
          <w:b/>
          <w:sz w:val="24"/>
        </w:rPr>
        <w:t>4.每季度</w:t>
      </w:r>
      <w:r>
        <w:rPr>
          <w:rFonts w:ascii="宋体" w:hAnsi="宋体" w:eastAsia="宋体"/>
          <w:b/>
          <w:bCs/>
          <w:kern w:val="0"/>
          <w:sz w:val="24"/>
        </w:rPr>
        <w:t>化学需氧量</w:t>
      </w:r>
      <w:r>
        <w:rPr>
          <w:rFonts w:hint="eastAsia" w:ascii="宋体" w:hAnsi="宋体" w:eastAsia="宋体"/>
          <w:b/>
          <w:bCs/>
          <w:kern w:val="0"/>
          <w:sz w:val="24"/>
        </w:rPr>
        <w:t>、</w:t>
      </w:r>
      <w:r>
        <w:rPr>
          <w:rFonts w:ascii="宋体" w:hAnsi="宋体" w:eastAsia="宋体"/>
          <w:b/>
          <w:bCs/>
          <w:kern w:val="0"/>
          <w:sz w:val="24"/>
        </w:rPr>
        <w:t>氨氮</w:t>
      </w:r>
      <w:r>
        <w:rPr>
          <w:rFonts w:hint="eastAsia" w:ascii="宋体" w:hAnsi="宋体" w:eastAsia="宋体"/>
          <w:b/>
          <w:bCs/>
          <w:kern w:val="0"/>
          <w:sz w:val="24"/>
        </w:rPr>
        <w:t>、pH、溶解氧人工比对</w:t>
      </w:r>
    </w:p>
    <w:p>
      <w:pPr>
        <w:spacing w:line="360" w:lineRule="auto"/>
        <w:ind w:firstLine="480" w:firstLineChars="200"/>
        <w:rPr>
          <w:rFonts w:ascii="宋体" w:hAnsi="宋体" w:eastAsia="宋体"/>
          <w:sz w:val="24"/>
        </w:rPr>
      </w:pPr>
      <w:r>
        <w:rPr>
          <w:rFonts w:hint="eastAsia" w:ascii="宋体" w:hAnsi="宋体" w:eastAsia="宋体"/>
          <w:sz w:val="24"/>
        </w:rPr>
        <w:t>每季度</w:t>
      </w:r>
      <w:r>
        <w:rPr>
          <w:rFonts w:hint="eastAsia" w:ascii="宋体" w:hAnsi="宋体" w:eastAsia="宋体" w:cs="宋体"/>
          <w:bCs/>
          <w:kern w:val="0"/>
          <w:sz w:val="24"/>
        </w:rPr>
        <w:t>完成济南市</w:t>
      </w:r>
      <w:r>
        <w:rPr>
          <w:rFonts w:hint="eastAsia" w:ascii="宋体" w:hAnsi="宋体" w:eastAsia="宋体" w:cstheme="minorEastAsia"/>
          <w:kern w:val="0"/>
          <w:sz w:val="24"/>
        </w:rPr>
        <w:t>1</w:t>
      </w:r>
      <w:r>
        <w:rPr>
          <w:rFonts w:ascii="宋体" w:hAnsi="宋体" w:eastAsia="宋体"/>
          <w:bCs/>
          <w:kern w:val="0"/>
          <w:sz w:val="24"/>
        </w:rPr>
        <w:t>2个水站一个轮次化学需氧量</w:t>
      </w:r>
      <w:r>
        <w:rPr>
          <w:rFonts w:hint="eastAsia" w:ascii="宋体" w:hAnsi="宋体" w:eastAsia="宋体"/>
          <w:bCs/>
          <w:kern w:val="0"/>
          <w:sz w:val="24"/>
        </w:rPr>
        <w:t>、</w:t>
      </w:r>
      <w:r>
        <w:rPr>
          <w:rFonts w:ascii="宋体" w:hAnsi="宋体" w:eastAsia="宋体"/>
          <w:bCs/>
          <w:kern w:val="0"/>
          <w:sz w:val="24"/>
        </w:rPr>
        <w:t>氨氮</w:t>
      </w:r>
      <w:r>
        <w:rPr>
          <w:rFonts w:hint="eastAsia" w:ascii="宋体" w:hAnsi="宋体" w:eastAsia="宋体"/>
          <w:bCs/>
          <w:kern w:val="0"/>
          <w:sz w:val="24"/>
        </w:rPr>
        <w:t>、pH、溶解氧</w:t>
      </w:r>
      <w:r>
        <w:rPr>
          <w:rFonts w:ascii="宋体" w:hAnsi="宋体" w:eastAsia="宋体"/>
          <w:bCs/>
          <w:kern w:val="0"/>
          <w:sz w:val="24"/>
        </w:rPr>
        <w:t>的</w:t>
      </w:r>
      <w:r>
        <w:rPr>
          <w:rFonts w:hint="eastAsia" w:ascii="宋体" w:hAnsi="宋体" w:eastAsia="宋体"/>
          <w:bCs/>
          <w:kern w:val="0"/>
          <w:sz w:val="24"/>
        </w:rPr>
        <w:t>人工比对。国标法水站化学需氧量比对相对误差在</w:t>
      </w:r>
      <w:r>
        <w:rPr>
          <w:rFonts w:ascii="宋体" w:hAnsi="宋体" w:eastAsia="宋体"/>
          <w:bCs/>
          <w:kern w:val="0"/>
          <w:sz w:val="24"/>
        </w:rPr>
        <w:t>±20%</w:t>
      </w:r>
      <w:r>
        <w:rPr>
          <w:rFonts w:hint="eastAsia" w:ascii="宋体" w:hAnsi="宋体" w:eastAsia="宋体"/>
          <w:bCs/>
          <w:kern w:val="0"/>
          <w:sz w:val="24"/>
        </w:rPr>
        <w:t>以内合格，氨氮比对结果按国家《地表水水质自动监测站运行维护技术规范》（试行）中规定执行。</w:t>
      </w:r>
      <w:r>
        <w:rPr>
          <w:rFonts w:hint="eastAsia" w:ascii="宋体" w:hAnsi="宋体" w:eastAsia="宋体" w:cs="宋体"/>
          <w:bCs/>
          <w:kern w:val="0"/>
          <w:sz w:val="24"/>
        </w:rPr>
        <w:t>非国标法水站化学需氧量比对相对误差在</w:t>
      </w:r>
      <w:r>
        <w:rPr>
          <w:rFonts w:ascii="宋体" w:hAnsi="宋体" w:eastAsia="宋体"/>
          <w:bCs/>
          <w:kern w:val="0"/>
          <w:sz w:val="24"/>
        </w:rPr>
        <w:t>±</w:t>
      </w:r>
      <w:r>
        <w:rPr>
          <w:rFonts w:hint="eastAsia" w:ascii="宋体" w:hAnsi="宋体" w:eastAsia="宋体"/>
          <w:bCs/>
          <w:kern w:val="0"/>
          <w:sz w:val="24"/>
        </w:rPr>
        <w:t>30</w:t>
      </w:r>
      <w:r>
        <w:rPr>
          <w:rFonts w:ascii="宋体" w:hAnsi="宋体" w:eastAsia="宋体"/>
          <w:bCs/>
          <w:kern w:val="0"/>
          <w:sz w:val="24"/>
        </w:rPr>
        <w:t>%</w:t>
      </w:r>
      <w:r>
        <w:rPr>
          <w:rFonts w:hint="eastAsia" w:ascii="宋体" w:hAnsi="宋体" w:eastAsia="宋体" w:cs="宋体"/>
          <w:bCs/>
          <w:kern w:val="0"/>
          <w:sz w:val="24"/>
        </w:rPr>
        <w:t>以内合格，氨氮比对结果按国家《地表水水质自动监测站运行维护技术规范》（试行）中规定执行。比对结果须在采样后2日内完成。</w:t>
      </w:r>
      <w:r>
        <w:rPr>
          <w:rFonts w:hint="eastAsia" w:ascii="宋体" w:hAnsi="宋体" w:eastAsia="宋体" w:cs="宋体"/>
          <w:sz w:val="24"/>
        </w:rPr>
        <w:t>如比对考核不合格，应督促运营公司查找原因，并在比对结果出来后的</w:t>
      </w:r>
      <w:r>
        <w:rPr>
          <w:rFonts w:ascii="宋体" w:hAnsi="宋体" w:eastAsia="宋体"/>
          <w:sz w:val="24"/>
        </w:rPr>
        <w:t>48</w:t>
      </w:r>
      <w:r>
        <w:rPr>
          <w:rFonts w:hint="eastAsia" w:ascii="宋体" w:hAnsi="宋体" w:eastAsia="宋体" w:cs="宋体"/>
          <w:sz w:val="24"/>
        </w:rPr>
        <w:t>小时内完成补测，如补测仍不合格则仪器视为故障，应督促运营公司更换仪器备机或者开展手工补测工作。比对考核不合格的数据直至下次测试合格前均按无效数据剔除。</w:t>
      </w:r>
      <w:r>
        <w:rPr>
          <w:rFonts w:hint="eastAsia" w:ascii="宋体" w:hAnsi="宋体" w:eastAsia="宋体"/>
          <w:sz w:val="24"/>
        </w:rPr>
        <w:t>实际水样人工比对出具有资质的报告。</w:t>
      </w:r>
    </w:p>
    <w:p>
      <w:pPr>
        <w:spacing w:line="360" w:lineRule="auto"/>
        <w:rPr>
          <w:rFonts w:ascii="宋体" w:hAnsi="宋体" w:eastAsia="宋体"/>
          <w:b/>
          <w:bCs/>
          <w:kern w:val="0"/>
          <w:sz w:val="24"/>
        </w:rPr>
      </w:pPr>
      <w:r>
        <w:rPr>
          <w:rFonts w:hint="eastAsia" w:ascii="宋体" w:hAnsi="宋体" w:eastAsia="宋体"/>
          <w:b/>
          <w:bCs/>
          <w:kern w:val="0"/>
          <w:sz w:val="24"/>
        </w:rPr>
        <w:t>5.质控计划和质控报告</w:t>
      </w:r>
    </w:p>
    <w:p>
      <w:pPr>
        <w:spacing w:line="360" w:lineRule="auto"/>
        <w:ind w:firstLine="480" w:firstLineChars="200"/>
        <w:rPr>
          <w:rFonts w:ascii="宋体" w:hAnsi="宋体" w:eastAsia="宋体"/>
          <w:bCs/>
          <w:kern w:val="0"/>
          <w:sz w:val="24"/>
        </w:rPr>
      </w:pPr>
      <w:r>
        <w:rPr>
          <w:rFonts w:hint="eastAsia" w:ascii="宋体" w:hAnsi="宋体" w:eastAsia="宋体"/>
          <w:bCs/>
          <w:kern w:val="0"/>
          <w:sz w:val="24"/>
        </w:rPr>
        <w:t>质控单位月底前提供下月质控计划，每月10日前提供上月质控报告。</w:t>
      </w:r>
    </w:p>
    <w:p>
      <w:pPr>
        <w:spacing w:line="360" w:lineRule="auto"/>
        <w:rPr>
          <w:rFonts w:ascii="宋体" w:hAnsi="宋体" w:eastAsia="宋体" w:cs="宋体"/>
          <w:b/>
          <w:sz w:val="24"/>
        </w:rPr>
      </w:pPr>
      <w:r>
        <w:rPr>
          <w:rFonts w:hint="eastAsia" w:ascii="宋体" w:hAnsi="宋体" w:eastAsia="宋体"/>
          <w:b/>
          <w:bCs/>
          <w:kern w:val="0"/>
          <w:sz w:val="24"/>
        </w:rPr>
        <w:t>6.</w:t>
      </w:r>
      <w:r>
        <w:rPr>
          <w:rFonts w:hint="eastAsia" w:ascii="宋体" w:hAnsi="宋体" w:eastAsia="宋体" w:cs="宋体"/>
          <w:b/>
          <w:sz w:val="24"/>
        </w:rPr>
        <w:t>根据工作需要开展的计划外质控核查</w:t>
      </w:r>
    </w:p>
    <w:p>
      <w:pPr>
        <w:spacing w:line="360" w:lineRule="auto"/>
        <w:ind w:firstLine="480" w:firstLineChars="200"/>
        <w:rPr>
          <w:rFonts w:ascii="宋体" w:hAnsi="宋体" w:eastAsia="宋体"/>
          <w:sz w:val="24"/>
        </w:rPr>
      </w:pPr>
      <w:r>
        <w:rPr>
          <w:rFonts w:hint="eastAsia" w:ascii="宋体" w:hAnsi="宋体" w:eastAsia="宋体" w:cs="宋体"/>
          <w:sz w:val="24"/>
        </w:rPr>
        <w:t>当出现突发性质量事故等情况时，一方面要保证原质控手段的正常进行，保证正常站点的常规监测，另一方面根据情况开展计划外的质控核查，找出质量事故原因，总结并优化现有质控方案，杜绝因质控本身不足造成的事故。</w:t>
      </w:r>
    </w:p>
    <w:p>
      <w:pPr>
        <w:spacing w:line="360" w:lineRule="auto"/>
        <w:rPr>
          <w:rFonts w:ascii="宋体" w:hAnsi="宋体" w:eastAsia="宋体"/>
          <w:sz w:val="24"/>
        </w:rPr>
      </w:pPr>
      <w:r>
        <w:rPr>
          <w:rFonts w:hint="eastAsia" w:ascii="宋体" w:hAnsi="宋体" w:eastAsia="宋体" w:cs="宋体"/>
          <w:sz w:val="24"/>
        </w:rPr>
        <w:t>（</w:t>
      </w:r>
      <w:r>
        <w:rPr>
          <w:rFonts w:ascii="宋体" w:hAnsi="宋体" w:eastAsia="宋体"/>
          <w:sz w:val="24"/>
        </w:rPr>
        <w:t>1</w:t>
      </w:r>
      <w:r>
        <w:rPr>
          <w:rFonts w:hint="eastAsia" w:ascii="宋体" w:hAnsi="宋体" w:eastAsia="宋体" w:cs="宋体"/>
          <w:sz w:val="24"/>
        </w:rPr>
        <w:t>）专项质控检查</w:t>
      </w:r>
    </w:p>
    <w:p>
      <w:pPr>
        <w:spacing w:line="360" w:lineRule="auto"/>
        <w:ind w:firstLine="480" w:firstLineChars="200"/>
        <w:rPr>
          <w:rFonts w:ascii="宋体" w:hAnsi="宋体" w:eastAsia="宋体"/>
          <w:sz w:val="24"/>
        </w:rPr>
      </w:pPr>
      <w:r>
        <w:rPr>
          <w:rFonts w:hint="eastAsia" w:ascii="宋体" w:hAnsi="宋体" w:eastAsia="宋体" w:cs="宋体"/>
          <w:sz w:val="24"/>
        </w:rPr>
        <w:t>针对特定时间，根据业主需求，对水站日常运行中出现的问题等，开展全面、重点的质量检查活动，提供水站监测质量。如核查每月监测数据、甄别数据，核查运营单位每月运营车辆与人员考勤，核查仪器、系统运行情况，备品、备机情况等。</w:t>
      </w:r>
    </w:p>
    <w:p>
      <w:pPr>
        <w:spacing w:line="360" w:lineRule="auto"/>
        <w:rPr>
          <w:rFonts w:ascii="宋体" w:hAnsi="宋体" w:eastAsia="宋体"/>
          <w:sz w:val="24"/>
        </w:rPr>
      </w:pPr>
      <w:r>
        <w:rPr>
          <w:rFonts w:hint="eastAsia" w:ascii="宋体" w:hAnsi="宋体" w:eastAsia="宋体" w:cs="宋体"/>
          <w:sz w:val="24"/>
        </w:rPr>
        <w:t>（</w:t>
      </w:r>
      <w:r>
        <w:rPr>
          <w:rFonts w:ascii="宋体" w:hAnsi="宋体" w:eastAsia="宋体"/>
          <w:sz w:val="24"/>
        </w:rPr>
        <w:t>2</w:t>
      </w:r>
      <w:r>
        <w:rPr>
          <w:rFonts w:hint="eastAsia" w:ascii="宋体" w:hAnsi="宋体" w:eastAsia="宋体" w:cs="宋体"/>
          <w:sz w:val="24"/>
        </w:rPr>
        <w:t>）突发质量事故跟踪核查</w:t>
      </w:r>
    </w:p>
    <w:p>
      <w:pPr>
        <w:spacing w:line="360" w:lineRule="auto"/>
        <w:ind w:firstLine="480" w:firstLineChars="200"/>
        <w:rPr>
          <w:rFonts w:ascii="宋体" w:hAnsi="宋体" w:eastAsia="宋体"/>
          <w:sz w:val="24"/>
        </w:rPr>
      </w:pPr>
      <w:r>
        <w:rPr>
          <w:rFonts w:hint="eastAsia" w:ascii="宋体" w:hAnsi="宋体" w:eastAsia="宋体" w:cs="宋体"/>
          <w:sz w:val="24"/>
        </w:rPr>
        <w:t>针对仪器设备突发质量事故情况，影响监测数据，对断面监测造成一定影响，需要及时跟踪核查，通过质控手段判定设备准确度季数据有限性，杜绝异常设备产生连续不真实数据。</w:t>
      </w:r>
    </w:p>
    <w:p>
      <w:pPr>
        <w:spacing w:line="360" w:lineRule="auto"/>
        <w:rPr>
          <w:rFonts w:ascii="宋体" w:hAnsi="宋体" w:eastAsia="宋体"/>
          <w:sz w:val="24"/>
        </w:rPr>
      </w:pPr>
      <w:r>
        <w:rPr>
          <w:rFonts w:hint="eastAsia" w:ascii="宋体" w:hAnsi="宋体" w:eastAsia="宋体" w:cs="宋体"/>
          <w:sz w:val="24"/>
        </w:rPr>
        <w:t>（</w:t>
      </w:r>
      <w:r>
        <w:rPr>
          <w:rFonts w:ascii="宋体" w:hAnsi="宋体" w:eastAsia="宋体"/>
          <w:sz w:val="24"/>
        </w:rPr>
        <w:t>3</w:t>
      </w:r>
      <w:r>
        <w:rPr>
          <w:rFonts w:hint="eastAsia" w:ascii="宋体" w:hAnsi="宋体" w:eastAsia="宋体" w:cs="宋体"/>
          <w:sz w:val="24"/>
        </w:rPr>
        <w:t>）应急监测质控支持</w:t>
      </w:r>
    </w:p>
    <w:p>
      <w:pPr>
        <w:spacing w:line="360" w:lineRule="auto"/>
        <w:ind w:firstLine="480" w:firstLineChars="200"/>
        <w:rPr>
          <w:rFonts w:ascii="宋体" w:hAnsi="宋体" w:eastAsia="宋体" w:cs="宋体"/>
          <w:sz w:val="24"/>
        </w:rPr>
      </w:pPr>
      <w:r>
        <w:rPr>
          <w:rFonts w:hint="eastAsia" w:ascii="宋体" w:hAnsi="宋体" w:eastAsia="宋体" w:cs="宋体"/>
          <w:sz w:val="24"/>
        </w:rPr>
        <w:t>针对突发污染事故，采用应急加密监测，能在最短时间内让仪器获取较多的数据，大量数据的产生，数据质量的保障就显得尤为重要。可通过便携式质控设备，提供现场质控服务，或通过分析实验室，短时间解决大批量质控样品检测，为应急监测提供质控保障，为事件决策提供支撑。</w:t>
      </w:r>
    </w:p>
    <w:p>
      <w:pPr>
        <w:spacing w:line="360" w:lineRule="auto"/>
        <w:rPr>
          <w:rFonts w:ascii="宋体" w:hAnsi="宋体" w:eastAsia="宋体"/>
          <w:b/>
          <w:sz w:val="30"/>
          <w:szCs w:val="30"/>
        </w:rPr>
      </w:pPr>
      <w:r>
        <w:rPr>
          <w:rFonts w:hint="eastAsia" w:ascii="宋体" w:hAnsi="宋体" w:eastAsia="宋体"/>
          <w:b/>
          <w:sz w:val="30"/>
          <w:szCs w:val="30"/>
        </w:rPr>
        <w:t>五、考核内容</w:t>
      </w:r>
    </w:p>
    <w:p>
      <w:pPr>
        <w:spacing w:line="360" w:lineRule="auto"/>
        <w:ind w:firstLine="480" w:firstLineChars="200"/>
        <w:rPr>
          <w:rFonts w:ascii="宋体" w:hAnsi="宋体" w:eastAsia="宋体"/>
          <w:bCs/>
          <w:kern w:val="0"/>
          <w:sz w:val="24"/>
        </w:rPr>
      </w:pPr>
      <w:r>
        <w:rPr>
          <w:rFonts w:hint="eastAsia" w:ascii="宋体" w:hAnsi="宋体" w:eastAsia="宋体"/>
          <w:bCs/>
          <w:kern w:val="0"/>
          <w:sz w:val="24"/>
        </w:rPr>
        <w:t>济南市生态环境局负责每季度对质控单位进行考核（附表）。考核采取百分制考核的方式进行，考核分值在</w:t>
      </w:r>
      <w:r>
        <w:rPr>
          <w:rFonts w:ascii="宋体" w:hAnsi="宋体" w:eastAsia="宋体"/>
          <w:bCs/>
          <w:kern w:val="0"/>
          <w:sz w:val="24"/>
        </w:rPr>
        <w:t>90</w:t>
      </w:r>
      <w:r>
        <w:rPr>
          <w:rFonts w:hint="eastAsia" w:ascii="宋体" w:hAnsi="宋体" w:eastAsia="宋体"/>
          <w:bCs/>
          <w:kern w:val="0"/>
          <w:sz w:val="24"/>
        </w:rPr>
        <w:t>分以上的全额支付，</w:t>
      </w:r>
      <w:r>
        <w:rPr>
          <w:rFonts w:ascii="宋体" w:hAnsi="宋体" w:eastAsia="宋体"/>
          <w:bCs/>
          <w:kern w:val="0"/>
          <w:sz w:val="24"/>
        </w:rPr>
        <w:t>85--90</w:t>
      </w:r>
      <w:r>
        <w:rPr>
          <w:rFonts w:hint="eastAsia" w:ascii="宋体" w:hAnsi="宋体" w:eastAsia="宋体"/>
          <w:bCs/>
          <w:kern w:val="0"/>
          <w:sz w:val="24"/>
        </w:rPr>
        <w:t>分按全年费用的</w:t>
      </w:r>
      <w:r>
        <w:rPr>
          <w:rFonts w:ascii="宋体" w:hAnsi="宋体" w:eastAsia="宋体"/>
          <w:bCs/>
          <w:kern w:val="0"/>
          <w:sz w:val="24"/>
        </w:rPr>
        <w:t>90%</w:t>
      </w:r>
      <w:r>
        <w:rPr>
          <w:rFonts w:hint="eastAsia" w:ascii="宋体" w:hAnsi="宋体" w:eastAsia="宋体"/>
          <w:bCs/>
          <w:kern w:val="0"/>
          <w:sz w:val="24"/>
        </w:rPr>
        <w:t>支付，</w:t>
      </w:r>
      <w:r>
        <w:rPr>
          <w:rFonts w:ascii="宋体" w:hAnsi="宋体" w:eastAsia="宋体"/>
          <w:bCs/>
          <w:kern w:val="0"/>
          <w:sz w:val="24"/>
        </w:rPr>
        <w:t>80--85</w:t>
      </w:r>
      <w:r>
        <w:rPr>
          <w:rFonts w:hint="eastAsia" w:ascii="宋体" w:hAnsi="宋体" w:eastAsia="宋体"/>
          <w:bCs/>
          <w:kern w:val="0"/>
          <w:sz w:val="24"/>
        </w:rPr>
        <w:t>分按全年费用的</w:t>
      </w:r>
      <w:r>
        <w:rPr>
          <w:rFonts w:ascii="宋体" w:hAnsi="宋体" w:eastAsia="宋体"/>
          <w:bCs/>
          <w:kern w:val="0"/>
          <w:sz w:val="24"/>
        </w:rPr>
        <w:t>80%</w:t>
      </w:r>
      <w:r>
        <w:rPr>
          <w:rFonts w:hint="eastAsia" w:ascii="宋体" w:hAnsi="宋体" w:eastAsia="宋体"/>
          <w:bCs/>
          <w:kern w:val="0"/>
          <w:sz w:val="24"/>
        </w:rPr>
        <w:t>支付，</w:t>
      </w:r>
      <w:r>
        <w:rPr>
          <w:rFonts w:hint="eastAsia" w:ascii="宋体" w:hAnsi="宋体" w:eastAsia="宋体"/>
          <w:sz w:val="24"/>
        </w:rPr>
        <w:t>考核</w:t>
      </w:r>
      <w:r>
        <w:rPr>
          <w:rFonts w:hint="eastAsia" w:ascii="宋体" w:hAnsi="宋体" w:eastAsia="宋体" w:cs="宋体"/>
          <w:bCs/>
          <w:kern w:val="0"/>
          <w:sz w:val="24"/>
        </w:rPr>
        <w:t>低于</w:t>
      </w:r>
      <w:r>
        <w:rPr>
          <w:rFonts w:ascii="宋体" w:hAnsi="宋体" w:eastAsia="宋体"/>
          <w:bCs/>
          <w:kern w:val="0"/>
          <w:sz w:val="24"/>
        </w:rPr>
        <w:t>80</w:t>
      </w:r>
      <w:r>
        <w:rPr>
          <w:rFonts w:hint="eastAsia" w:ascii="宋体" w:hAnsi="宋体" w:eastAsia="宋体" w:cs="宋体"/>
          <w:bCs/>
          <w:kern w:val="0"/>
          <w:sz w:val="24"/>
        </w:rPr>
        <w:t>分扣除全年该站点费用</w:t>
      </w:r>
      <w:r>
        <w:rPr>
          <w:rFonts w:hint="eastAsia" w:ascii="宋体" w:hAnsi="宋体" w:eastAsia="宋体"/>
          <w:bCs/>
          <w:kern w:val="0"/>
          <w:sz w:val="24"/>
        </w:rPr>
        <w:t>。</w:t>
      </w:r>
    </w:p>
    <w:p>
      <w:pPr>
        <w:spacing w:line="360" w:lineRule="auto"/>
        <w:ind w:firstLine="480" w:firstLineChars="200"/>
        <w:rPr>
          <w:rFonts w:ascii="宋体" w:hAnsi="宋体" w:eastAsia="宋体"/>
          <w:bCs/>
          <w:kern w:val="0"/>
          <w:sz w:val="24"/>
        </w:rPr>
      </w:pPr>
      <w:r>
        <w:rPr>
          <w:rFonts w:hint="eastAsia" w:ascii="宋体" w:hAnsi="宋体" w:eastAsia="宋体"/>
          <w:bCs/>
          <w:kern w:val="0"/>
          <w:sz w:val="24"/>
        </w:rPr>
        <w:t>考核采用扣分制，内容主要有：</w:t>
      </w:r>
    </w:p>
    <w:p>
      <w:pPr>
        <w:spacing w:line="360" w:lineRule="auto"/>
        <w:rPr>
          <w:rFonts w:ascii="宋体" w:hAnsi="宋体" w:eastAsia="宋体"/>
          <w:b/>
          <w:bCs/>
          <w:kern w:val="0"/>
          <w:sz w:val="24"/>
        </w:rPr>
      </w:pPr>
      <w:r>
        <w:rPr>
          <w:rFonts w:hint="eastAsia" w:ascii="宋体" w:hAnsi="宋体" w:eastAsia="宋体"/>
          <w:b/>
          <w:bCs/>
          <w:kern w:val="0"/>
          <w:sz w:val="24"/>
        </w:rPr>
        <w:t>1.每月对水站环境保护及采水系统检查，满分8分。</w:t>
      </w:r>
    </w:p>
    <w:p>
      <w:pPr>
        <w:spacing w:line="360" w:lineRule="auto"/>
        <w:ind w:firstLine="480" w:firstLineChars="200"/>
        <w:rPr>
          <w:rFonts w:ascii="宋体" w:hAnsi="宋体" w:eastAsia="宋体"/>
          <w:bCs/>
          <w:kern w:val="0"/>
          <w:sz w:val="24"/>
        </w:rPr>
      </w:pPr>
      <w:r>
        <w:rPr>
          <w:rFonts w:hint="eastAsia" w:ascii="宋体" w:hAnsi="宋体" w:eastAsia="宋体"/>
          <w:bCs/>
          <w:kern w:val="0"/>
          <w:sz w:val="24"/>
        </w:rPr>
        <w:t>检查站房环境、站房温度、防水、防火、防雷、外接电源及其他基础设施是否满足监测要求。检查采水系统是否满足规范要求，采样管路是否清洁。一项次不检查扣1分，扣完为止。</w:t>
      </w:r>
    </w:p>
    <w:p>
      <w:pPr>
        <w:spacing w:line="360" w:lineRule="auto"/>
        <w:rPr>
          <w:rFonts w:ascii="宋体" w:hAnsi="宋体" w:eastAsia="宋体"/>
          <w:b/>
          <w:bCs/>
          <w:kern w:val="0"/>
          <w:sz w:val="24"/>
        </w:rPr>
      </w:pPr>
      <w:r>
        <w:rPr>
          <w:rFonts w:hint="eastAsia" w:ascii="宋体" w:hAnsi="宋体" w:eastAsia="宋体"/>
          <w:b/>
          <w:bCs/>
          <w:kern w:val="0"/>
          <w:sz w:val="24"/>
        </w:rPr>
        <w:t>2.每月对运营单位仪器日常维护情况检查，满分8分。</w:t>
      </w:r>
    </w:p>
    <w:p>
      <w:pPr>
        <w:spacing w:line="360" w:lineRule="auto"/>
        <w:ind w:firstLine="480" w:firstLineChars="200"/>
        <w:rPr>
          <w:rFonts w:ascii="宋体" w:hAnsi="宋体" w:eastAsia="宋体"/>
          <w:bCs/>
          <w:kern w:val="0"/>
          <w:sz w:val="24"/>
        </w:rPr>
      </w:pPr>
      <w:r>
        <w:rPr>
          <w:rFonts w:hint="eastAsia" w:ascii="宋体" w:hAnsi="宋体" w:eastAsia="宋体"/>
          <w:bCs/>
          <w:kern w:val="0"/>
          <w:sz w:val="24"/>
        </w:rPr>
        <w:t>仪器工作状态是否正常，是否存在报警信息；</w:t>
      </w:r>
      <w:r>
        <w:rPr>
          <w:rFonts w:hint="eastAsia" w:ascii="宋体" w:hAnsi="宋体" w:eastAsia="宋体" w:cs="宋体"/>
          <w:sz w:val="24"/>
        </w:rPr>
        <w:t>按照仪器设备说明书规定，设备各参数有无更改；</w:t>
      </w:r>
      <w:r>
        <w:rPr>
          <w:rFonts w:hint="eastAsia" w:ascii="宋体" w:hAnsi="宋体" w:eastAsia="宋体"/>
          <w:bCs/>
          <w:kern w:val="0"/>
          <w:sz w:val="24"/>
        </w:rPr>
        <w:t>相关耗材是否及时更换；通讯系统能否正常采集数据并上传平台；运营公司是否按照规范要求填写运营记录，记录是否规范和齐全。一项次不检查扣1分，扣完为止。</w:t>
      </w:r>
    </w:p>
    <w:p>
      <w:pPr>
        <w:spacing w:line="360" w:lineRule="auto"/>
        <w:rPr>
          <w:rFonts w:ascii="宋体" w:hAnsi="宋体" w:eastAsia="宋体"/>
          <w:b/>
          <w:bCs/>
          <w:kern w:val="0"/>
          <w:sz w:val="24"/>
        </w:rPr>
      </w:pPr>
      <w:r>
        <w:rPr>
          <w:rFonts w:hint="eastAsia" w:ascii="宋体" w:hAnsi="宋体" w:eastAsia="宋体"/>
          <w:b/>
          <w:sz w:val="24"/>
        </w:rPr>
        <w:t>3.</w:t>
      </w:r>
      <w:r>
        <w:rPr>
          <w:rFonts w:hint="eastAsia" w:ascii="宋体" w:hAnsi="宋体" w:eastAsia="宋体"/>
          <w:b/>
          <w:bCs/>
          <w:kern w:val="0"/>
          <w:sz w:val="24"/>
        </w:rPr>
        <w:t>化学需氧量和氨氮标准样品核查，满分10分。</w:t>
      </w:r>
    </w:p>
    <w:p>
      <w:pPr>
        <w:spacing w:line="360" w:lineRule="auto"/>
        <w:ind w:firstLine="480" w:firstLineChars="200"/>
        <w:rPr>
          <w:rFonts w:ascii="宋体" w:hAnsi="宋体" w:eastAsia="宋体"/>
          <w:bCs/>
          <w:kern w:val="0"/>
          <w:sz w:val="24"/>
        </w:rPr>
      </w:pPr>
      <w:r>
        <w:rPr>
          <w:rFonts w:hint="eastAsia" w:ascii="宋体" w:hAnsi="宋体" w:eastAsia="宋体"/>
          <w:sz w:val="24"/>
        </w:rPr>
        <w:t>每月</w:t>
      </w:r>
      <w:r>
        <w:rPr>
          <w:rFonts w:hint="eastAsia" w:ascii="宋体" w:hAnsi="宋体" w:eastAsia="宋体"/>
          <w:bCs/>
          <w:kern w:val="0"/>
          <w:sz w:val="24"/>
        </w:rPr>
        <w:t>化学需氧量和氨氮的标准样品核查，一项次不核查扣5分，扣完为止。</w:t>
      </w:r>
    </w:p>
    <w:p>
      <w:pPr>
        <w:spacing w:line="360" w:lineRule="auto"/>
        <w:rPr>
          <w:rFonts w:ascii="宋体" w:hAnsi="宋体" w:eastAsia="宋体"/>
          <w:b/>
          <w:bCs/>
          <w:kern w:val="0"/>
          <w:sz w:val="24"/>
        </w:rPr>
      </w:pPr>
      <w:r>
        <w:rPr>
          <w:rFonts w:hint="eastAsia" w:ascii="宋体" w:hAnsi="宋体" w:eastAsia="宋体"/>
          <w:b/>
          <w:sz w:val="24"/>
        </w:rPr>
        <w:t>4.</w:t>
      </w:r>
      <w:r>
        <w:rPr>
          <w:rFonts w:ascii="宋体" w:hAnsi="宋体" w:eastAsia="宋体"/>
          <w:b/>
          <w:bCs/>
          <w:kern w:val="0"/>
          <w:sz w:val="24"/>
        </w:rPr>
        <w:t>化学需氧量</w:t>
      </w:r>
      <w:r>
        <w:rPr>
          <w:rFonts w:hint="eastAsia" w:ascii="宋体" w:hAnsi="宋体" w:eastAsia="宋体"/>
          <w:b/>
          <w:bCs/>
          <w:kern w:val="0"/>
          <w:sz w:val="24"/>
        </w:rPr>
        <w:t>、</w:t>
      </w:r>
      <w:r>
        <w:rPr>
          <w:rFonts w:ascii="宋体" w:hAnsi="宋体" w:eastAsia="宋体"/>
          <w:b/>
          <w:bCs/>
          <w:kern w:val="0"/>
          <w:sz w:val="24"/>
        </w:rPr>
        <w:t>氨氮</w:t>
      </w:r>
      <w:r>
        <w:rPr>
          <w:rFonts w:hint="eastAsia" w:ascii="宋体" w:hAnsi="宋体" w:eastAsia="宋体"/>
          <w:b/>
          <w:bCs/>
          <w:kern w:val="0"/>
          <w:sz w:val="24"/>
        </w:rPr>
        <w:t>、pH、溶解氧人工比对，满分20分。</w:t>
      </w:r>
    </w:p>
    <w:p>
      <w:pPr>
        <w:spacing w:line="360" w:lineRule="auto"/>
        <w:ind w:firstLine="480" w:firstLineChars="200"/>
        <w:rPr>
          <w:rFonts w:ascii="宋体" w:hAnsi="宋体" w:eastAsia="宋体"/>
          <w:bCs/>
          <w:kern w:val="0"/>
          <w:sz w:val="24"/>
        </w:rPr>
      </w:pPr>
      <w:r>
        <w:rPr>
          <w:rFonts w:hint="eastAsia" w:ascii="宋体" w:hAnsi="宋体" w:eastAsia="宋体"/>
          <w:sz w:val="24"/>
        </w:rPr>
        <w:t>每季度</w:t>
      </w:r>
      <w:r>
        <w:rPr>
          <w:rFonts w:ascii="宋体" w:hAnsi="宋体" w:eastAsia="宋体"/>
          <w:bCs/>
          <w:kern w:val="0"/>
          <w:sz w:val="24"/>
        </w:rPr>
        <w:t>化学需氧量</w:t>
      </w:r>
      <w:r>
        <w:rPr>
          <w:rFonts w:hint="eastAsia" w:ascii="宋体" w:hAnsi="宋体" w:eastAsia="宋体"/>
          <w:bCs/>
          <w:kern w:val="0"/>
          <w:sz w:val="24"/>
        </w:rPr>
        <w:t>、</w:t>
      </w:r>
      <w:r>
        <w:rPr>
          <w:rFonts w:ascii="宋体" w:hAnsi="宋体" w:eastAsia="宋体"/>
          <w:bCs/>
          <w:kern w:val="0"/>
          <w:sz w:val="24"/>
        </w:rPr>
        <w:t>氨氮</w:t>
      </w:r>
      <w:r>
        <w:rPr>
          <w:rFonts w:hint="eastAsia" w:ascii="宋体" w:hAnsi="宋体" w:eastAsia="宋体"/>
          <w:bCs/>
          <w:kern w:val="0"/>
          <w:sz w:val="24"/>
        </w:rPr>
        <w:t>、pH、溶解氧</w:t>
      </w:r>
      <w:r>
        <w:rPr>
          <w:rFonts w:ascii="宋体" w:hAnsi="宋体" w:eastAsia="宋体"/>
          <w:bCs/>
          <w:kern w:val="0"/>
          <w:sz w:val="24"/>
        </w:rPr>
        <w:t>的</w:t>
      </w:r>
      <w:r>
        <w:rPr>
          <w:rFonts w:hint="eastAsia" w:ascii="宋体" w:hAnsi="宋体" w:eastAsia="宋体"/>
          <w:bCs/>
          <w:kern w:val="0"/>
          <w:sz w:val="24"/>
        </w:rPr>
        <w:t>人工比对，一项次不比对扣5分，扣完为止。</w:t>
      </w:r>
    </w:p>
    <w:p>
      <w:pPr>
        <w:spacing w:line="360" w:lineRule="auto"/>
        <w:rPr>
          <w:rFonts w:ascii="宋体" w:hAnsi="宋体" w:eastAsia="宋体"/>
          <w:b/>
          <w:bCs/>
          <w:kern w:val="0"/>
          <w:sz w:val="24"/>
        </w:rPr>
      </w:pPr>
      <w:r>
        <w:rPr>
          <w:rFonts w:hint="eastAsia" w:ascii="宋体" w:hAnsi="宋体" w:eastAsia="宋体"/>
          <w:b/>
          <w:bCs/>
          <w:kern w:val="0"/>
          <w:sz w:val="24"/>
        </w:rPr>
        <w:t>5.提供质控计划，满分7分。</w:t>
      </w:r>
    </w:p>
    <w:p>
      <w:pPr>
        <w:spacing w:line="360" w:lineRule="auto"/>
        <w:ind w:firstLine="480" w:firstLineChars="200"/>
        <w:rPr>
          <w:rFonts w:ascii="宋体" w:hAnsi="宋体" w:eastAsia="宋体"/>
          <w:bCs/>
          <w:kern w:val="0"/>
          <w:sz w:val="24"/>
        </w:rPr>
      </w:pPr>
      <w:r>
        <w:rPr>
          <w:rFonts w:hint="eastAsia" w:ascii="宋体" w:hAnsi="宋体" w:eastAsia="宋体"/>
          <w:bCs/>
          <w:kern w:val="0"/>
          <w:sz w:val="24"/>
        </w:rPr>
        <w:t>质控单位月底前提供下月质控计划，不提交扣7分，不按时提交扣3分。</w:t>
      </w:r>
    </w:p>
    <w:p>
      <w:pPr>
        <w:spacing w:line="360" w:lineRule="auto"/>
        <w:rPr>
          <w:rFonts w:ascii="宋体" w:hAnsi="宋体" w:eastAsia="宋体"/>
          <w:b/>
          <w:bCs/>
          <w:kern w:val="0"/>
          <w:sz w:val="24"/>
        </w:rPr>
      </w:pPr>
      <w:r>
        <w:rPr>
          <w:rFonts w:hint="eastAsia" w:ascii="宋体" w:hAnsi="宋体" w:eastAsia="宋体"/>
          <w:b/>
          <w:bCs/>
          <w:kern w:val="0"/>
          <w:sz w:val="24"/>
        </w:rPr>
        <w:t>6.提供质控报告，满分7分。</w:t>
      </w:r>
    </w:p>
    <w:p>
      <w:pPr>
        <w:spacing w:line="360" w:lineRule="auto"/>
        <w:ind w:firstLine="480" w:firstLineChars="200"/>
        <w:rPr>
          <w:rFonts w:ascii="宋体" w:hAnsi="宋体" w:eastAsia="宋体"/>
          <w:bCs/>
          <w:kern w:val="0"/>
          <w:sz w:val="24"/>
        </w:rPr>
      </w:pPr>
      <w:r>
        <w:rPr>
          <w:rFonts w:hint="eastAsia" w:ascii="宋体" w:hAnsi="宋体" w:eastAsia="宋体"/>
          <w:bCs/>
          <w:kern w:val="0"/>
          <w:sz w:val="24"/>
        </w:rPr>
        <w:t>每月10日前提供上月质控报告，不提交扣7分，不按时提交扣3分。</w:t>
      </w:r>
    </w:p>
    <w:p>
      <w:pPr>
        <w:spacing w:line="360" w:lineRule="auto"/>
        <w:rPr>
          <w:rFonts w:ascii="宋体" w:hAnsi="宋体" w:eastAsia="宋体"/>
          <w:b/>
          <w:bCs/>
          <w:kern w:val="0"/>
          <w:sz w:val="24"/>
        </w:rPr>
      </w:pPr>
      <w:r>
        <w:rPr>
          <w:rFonts w:hint="eastAsia" w:ascii="宋体" w:hAnsi="宋体" w:eastAsia="宋体"/>
          <w:b/>
          <w:bCs/>
          <w:kern w:val="0"/>
          <w:sz w:val="24"/>
        </w:rPr>
        <w:t>7.标准样品</w:t>
      </w:r>
      <w:r>
        <w:rPr>
          <w:rFonts w:ascii="宋体" w:hAnsi="宋体" w:eastAsia="宋体"/>
          <w:b/>
          <w:bCs/>
          <w:kern w:val="0"/>
          <w:sz w:val="24"/>
        </w:rPr>
        <w:t>的量值溯源</w:t>
      </w:r>
      <w:r>
        <w:rPr>
          <w:rFonts w:hint="eastAsia" w:ascii="宋体" w:hAnsi="宋体" w:eastAsia="宋体"/>
          <w:b/>
          <w:bCs/>
          <w:kern w:val="0"/>
          <w:sz w:val="24"/>
        </w:rPr>
        <w:t>，满分6分。</w:t>
      </w:r>
    </w:p>
    <w:p>
      <w:pPr>
        <w:spacing w:line="360" w:lineRule="auto"/>
        <w:ind w:firstLine="480" w:firstLineChars="200"/>
        <w:rPr>
          <w:rFonts w:ascii="宋体" w:hAnsi="宋体" w:eastAsia="宋体"/>
          <w:bCs/>
          <w:kern w:val="0"/>
          <w:sz w:val="24"/>
        </w:rPr>
      </w:pPr>
      <w:r>
        <w:rPr>
          <w:rFonts w:hint="eastAsia" w:ascii="宋体" w:hAnsi="宋体" w:eastAsia="宋体"/>
          <w:bCs/>
          <w:kern w:val="0"/>
          <w:sz w:val="24"/>
        </w:rPr>
        <w:t>质控单位应提供标准样品的量值溯源相关证明，未进行或不合格的，每项扣3分，扣完为止；若发现使用过期标准样品的，扣6分。</w:t>
      </w:r>
    </w:p>
    <w:p>
      <w:pPr>
        <w:spacing w:line="360" w:lineRule="auto"/>
        <w:rPr>
          <w:rFonts w:ascii="宋体" w:hAnsi="宋体" w:eastAsia="宋体"/>
          <w:b/>
          <w:bCs/>
          <w:kern w:val="0"/>
          <w:sz w:val="24"/>
        </w:rPr>
      </w:pPr>
      <w:r>
        <w:rPr>
          <w:rFonts w:hint="eastAsia" w:ascii="宋体" w:hAnsi="宋体" w:eastAsia="宋体"/>
          <w:b/>
          <w:bCs/>
          <w:kern w:val="0"/>
          <w:sz w:val="24"/>
        </w:rPr>
        <w:t>8.人工比对规范性，满分12分。</w:t>
      </w:r>
    </w:p>
    <w:p>
      <w:pPr>
        <w:spacing w:line="360" w:lineRule="auto"/>
        <w:ind w:firstLine="480" w:firstLineChars="200"/>
        <w:rPr>
          <w:rFonts w:ascii="宋体" w:hAnsi="宋体" w:eastAsia="宋体"/>
          <w:bCs/>
          <w:kern w:val="0"/>
          <w:sz w:val="24"/>
        </w:rPr>
      </w:pPr>
      <w:r>
        <w:rPr>
          <w:rFonts w:ascii="宋体" w:hAnsi="宋体" w:eastAsia="宋体"/>
          <w:bCs/>
          <w:kern w:val="0"/>
          <w:sz w:val="24"/>
        </w:rPr>
        <w:t>质控</w:t>
      </w:r>
      <w:r>
        <w:rPr>
          <w:rFonts w:hint="eastAsia" w:ascii="宋体" w:hAnsi="宋体" w:eastAsia="宋体"/>
          <w:bCs/>
          <w:kern w:val="0"/>
          <w:sz w:val="24"/>
        </w:rPr>
        <w:t>单位</w:t>
      </w:r>
      <w:r>
        <w:rPr>
          <w:rFonts w:ascii="宋体" w:hAnsi="宋体" w:eastAsia="宋体"/>
          <w:bCs/>
          <w:kern w:val="0"/>
          <w:sz w:val="24"/>
        </w:rPr>
        <w:t>应提供</w:t>
      </w:r>
      <w:r>
        <w:rPr>
          <w:rFonts w:hint="eastAsia" w:ascii="宋体" w:hAnsi="宋体" w:eastAsia="宋体"/>
          <w:bCs/>
          <w:kern w:val="0"/>
          <w:sz w:val="24"/>
        </w:rPr>
        <w:t>人工比对</w:t>
      </w:r>
      <w:r>
        <w:rPr>
          <w:rFonts w:ascii="宋体" w:hAnsi="宋体" w:eastAsia="宋体"/>
          <w:bCs/>
          <w:kern w:val="0"/>
          <w:sz w:val="24"/>
        </w:rPr>
        <w:t>的量值溯源相关证明，未进行或不合格的，每</w:t>
      </w:r>
      <w:r>
        <w:rPr>
          <w:rFonts w:hint="eastAsia" w:ascii="宋体" w:hAnsi="宋体" w:eastAsia="宋体"/>
          <w:bCs/>
          <w:kern w:val="0"/>
          <w:sz w:val="24"/>
        </w:rPr>
        <w:t>项</w:t>
      </w:r>
      <w:r>
        <w:rPr>
          <w:rFonts w:ascii="宋体" w:hAnsi="宋体" w:eastAsia="宋体"/>
          <w:bCs/>
          <w:kern w:val="0"/>
          <w:sz w:val="24"/>
        </w:rPr>
        <w:t>扣</w:t>
      </w:r>
      <w:r>
        <w:rPr>
          <w:rFonts w:hint="eastAsia" w:ascii="宋体" w:hAnsi="宋体" w:eastAsia="宋体"/>
          <w:bCs/>
          <w:kern w:val="0"/>
          <w:sz w:val="24"/>
        </w:rPr>
        <w:t>3</w:t>
      </w:r>
      <w:r>
        <w:rPr>
          <w:rFonts w:ascii="宋体" w:hAnsi="宋体" w:eastAsia="宋体"/>
          <w:bCs/>
          <w:kern w:val="0"/>
          <w:sz w:val="24"/>
        </w:rPr>
        <w:t>分</w:t>
      </w:r>
      <w:r>
        <w:rPr>
          <w:rFonts w:hint="eastAsia" w:ascii="宋体" w:hAnsi="宋体" w:eastAsia="宋体"/>
          <w:bCs/>
          <w:kern w:val="0"/>
          <w:sz w:val="24"/>
        </w:rPr>
        <w:t>，扣完为止。</w:t>
      </w:r>
    </w:p>
    <w:p>
      <w:pPr>
        <w:spacing w:line="360" w:lineRule="auto"/>
        <w:rPr>
          <w:rFonts w:ascii="宋体" w:hAnsi="宋体" w:eastAsia="宋体"/>
          <w:b/>
          <w:bCs/>
          <w:kern w:val="0"/>
          <w:sz w:val="24"/>
        </w:rPr>
      </w:pPr>
      <w:r>
        <w:rPr>
          <w:rFonts w:hint="eastAsia" w:ascii="宋体" w:hAnsi="宋体" w:eastAsia="宋体" w:cs="宋体"/>
          <w:b/>
          <w:sz w:val="24"/>
        </w:rPr>
        <w:t>9.水站质控管理规范性检查，</w:t>
      </w:r>
      <w:r>
        <w:rPr>
          <w:rFonts w:hint="eastAsia" w:ascii="宋体" w:hAnsi="宋体" w:eastAsia="宋体"/>
          <w:b/>
          <w:bCs/>
          <w:kern w:val="0"/>
          <w:sz w:val="24"/>
        </w:rPr>
        <w:t>满分10分。</w:t>
      </w:r>
    </w:p>
    <w:p>
      <w:pPr>
        <w:spacing w:line="360" w:lineRule="auto"/>
        <w:ind w:firstLine="480" w:firstLineChars="200"/>
        <w:rPr>
          <w:rFonts w:ascii="宋体" w:hAnsi="宋体" w:eastAsia="宋体"/>
          <w:bCs/>
          <w:kern w:val="0"/>
          <w:sz w:val="24"/>
        </w:rPr>
      </w:pPr>
      <w:r>
        <w:rPr>
          <w:rFonts w:hint="eastAsia" w:ascii="宋体" w:hAnsi="宋体" w:eastAsia="宋体" w:cs="宋体"/>
          <w:sz w:val="24"/>
        </w:rPr>
        <w:t>内容主要包括：站点月度检查记录、标准样品核查记录、人工比对记录、质控计划、质控报告、运营单位工作评价、年度检查报告汇总、质控管理规章制度等。一项次不规范扣2分</w:t>
      </w:r>
      <w:r>
        <w:rPr>
          <w:rFonts w:hint="eastAsia" w:ascii="宋体" w:hAnsi="宋体" w:eastAsia="宋体"/>
          <w:bCs/>
          <w:kern w:val="0"/>
          <w:sz w:val="24"/>
        </w:rPr>
        <w:t>，扣完为止</w:t>
      </w:r>
      <w:r>
        <w:rPr>
          <w:rFonts w:hint="eastAsia" w:ascii="宋体" w:hAnsi="宋体" w:eastAsia="宋体" w:cs="宋体"/>
          <w:sz w:val="24"/>
        </w:rPr>
        <w:t>。</w:t>
      </w:r>
    </w:p>
    <w:p>
      <w:pPr>
        <w:spacing w:line="360" w:lineRule="auto"/>
        <w:rPr>
          <w:rFonts w:ascii="宋体" w:hAnsi="宋体" w:eastAsia="宋体"/>
          <w:b/>
          <w:bCs/>
          <w:kern w:val="0"/>
          <w:sz w:val="24"/>
        </w:rPr>
      </w:pPr>
      <w:r>
        <w:rPr>
          <w:rFonts w:hint="eastAsia" w:ascii="宋体" w:hAnsi="宋体" w:eastAsia="宋体" w:cs="宋体"/>
          <w:b/>
          <w:sz w:val="24"/>
        </w:rPr>
        <w:t>10.计划外质控核查，</w:t>
      </w:r>
      <w:r>
        <w:rPr>
          <w:rFonts w:hint="eastAsia" w:ascii="宋体" w:hAnsi="宋体" w:eastAsia="宋体"/>
          <w:b/>
          <w:bCs/>
          <w:kern w:val="0"/>
          <w:sz w:val="24"/>
        </w:rPr>
        <w:t>满分12分。</w:t>
      </w:r>
    </w:p>
    <w:p>
      <w:pPr>
        <w:spacing w:line="360" w:lineRule="auto"/>
        <w:ind w:firstLine="480" w:firstLineChars="200"/>
        <w:rPr>
          <w:rFonts w:ascii="宋体" w:hAnsi="宋体" w:eastAsia="宋体"/>
          <w:sz w:val="24"/>
        </w:rPr>
      </w:pPr>
      <w:r>
        <w:rPr>
          <w:rFonts w:hint="eastAsia" w:ascii="宋体" w:hAnsi="宋体" w:eastAsia="宋体" w:cs="宋体"/>
          <w:sz w:val="24"/>
        </w:rPr>
        <w:t>（</w:t>
      </w:r>
      <w:r>
        <w:rPr>
          <w:rFonts w:ascii="宋体" w:hAnsi="宋体" w:eastAsia="宋体"/>
          <w:sz w:val="24"/>
        </w:rPr>
        <w:t>1</w:t>
      </w:r>
      <w:r>
        <w:rPr>
          <w:rFonts w:hint="eastAsia" w:ascii="宋体" w:hAnsi="宋体" w:eastAsia="宋体" w:cs="宋体"/>
          <w:sz w:val="24"/>
        </w:rPr>
        <w:t>）专项质控检查，4分。一项次不及时扣1分，扣完为止。（</w:t>
      </w:r>
      <w:r>
        <w:rPr>
          <w:rFonts w:ascii="宋体" w:hAnsi="宋体" w:eastAsia="宋体"/>
          <w:sz w:val="24"/>
        </w:rPr>
        <w:t>2</w:t>
      </w:r>
      <w:r>
        <w:rPr>
          <w:rFonts w:hint="eastAsia" w:ascii="宋体" w:hAnsi="宋体" w:eastAsia="宋体" w:cs="宋体"/>
          <w:sz w:val="24"/>
        </w:rPr>
        <w:t>）突发质量事故跟踪核查，4分。一项次不及时扣1分，扣完为止。（</w:t>
      </w:r>
      <w:r>
        <w:rPr>
          <w:rFonts w:ascii="宋体" w:hAnsi="宋体" w:eastAsia="宋体"/>
          <w:sz w:val="24"/>
        </w:rPr>
        <w:t>3</w:t>
      </w:r>
      <w:r>
        <w:rPr>
          <w:rFonts w:hint="eastAsia" w:ascii="宋体" w:hAnsi="宋体" w:eastAsia="宋体" w:cs="宋体"/>
          <w:sz w:val="24"/>
        </w:rPr>
        <w:t>）应急监测质控支持，4分。一项次不及时扣1分，扣完为止。</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jc w:val="center"/>
        <w:rPr>
          <w:rFonts w:ascii="宋体" w:hAnsi="宋体" w:eastAsia="宋体"/>
          <w:b/>
          <w:sz w:val="24"/>
        </w:rPr>
      </w:pPr>
      <w:r>
        <w:rPr>
          <w:rFonts w:hint="eastAsia" w:ascii="宋体" w:hAnsi="宋体" w:eastAsia="宋体"/>
          <w:b/>
          <w:sz w:val="24"/>
        </w:rPr>
        <w:t xml:space="preserve">表2  </w:t>
      </w:r>
      <w:r>
        <w:rPr>
          <w:rFonts w:hint="eastAsia" w:ascii="宋体" w:hAnsi="宋体" w:eastAsia="宋体" w:cstheme="minorEastAsia"/>
          <w:b/>
          <w:kern w:val="0"/>
          <w:sz w:val="24"/>
        </w:rPr>
        <w:t>水站的质控管理运营考核</w:t>
      </w:r>
    </w:p>
    <w:tbl>
      <w:tblPr>
        <w:tblStyle w:val="26"/>
        <w:tblW w:w="7850" w:type="dxa"/>
        <w:jc w:val="center"/>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3544"/>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Align w:val="center"/>
          </w:tcPr>
          <w:p>
            <w:pPr>
              <w:jc w:val="center"/>
              <w:rPr>
                <w:rFonts w:ascii="宋体" w:hAnsi="宋体" w:eastAsia="宋体"/>
                <w:szCs w:val="21"/>
              </w:rPr>
            </w:pPr>
            <w:r>
              <w:rPr>
                <w:rFonts w:hint="eastAsia" w:ascii="宋体" w:hAnsi="宋体" w:eastAsia="宋体"/>
                <w:szCs w:val="21"/>
              </w:rPr>
              <w:t>项目</w:t>
            </w:r>
          </w:p>
        </w:tc>
        <w:tc>
          <w:tcPr>
            <w:tcW w:w="3544" w:type="dxa"/>
            <w:vAlign w:val="center"/>
          </w:tcPr>
          <w:p>
            <w:pPr>
              <w:jc w:val="center"/>
              <w:rPr>
                <w:rFonts w:ascii="宋体" w:hAnsi="宋体" w:eastAsia="宋体"/>
                <w:szCs w:val="21"/>
              </w:rPr>
            </w:pPr>
            <w:r>
              <w:rPr>
                <w:rFonts w:hint="eastAsia" w:ascii="宋体" w:hAnsi="宋体" w:eastAsia="宋体"/>
                <w:szCs w:val="21"/>
              </w:rPr>
              <w:t>考核内容</w:t>
            </w:r>
          </w:p>
        </w:tc>
        <w:tc>
          <w:tcPr>
            <w:tcW w:w="851" w:type="dxa"/>
            <w:vAlign w:val="center"/>
          </w:tcPr>
          <w:p>
            <w:pPr>
              <w:jc w:val="center"/>
              <w:rPr>
                <w:rFonts w:ascii="宋体" w:hAnsi="宋体" w:eastAsia="宋体"/>
                <w:szCs w:val="21"/>
              </w:rPr>
            </w:pPr>
            <w:r>
              <w:rPr>
                <w:rFonts w:hint="eastAsia" w:ascii="宋体" w:hAnsi="宋体" w:eastAsia="宋体"/>
                <w:szCs w:val="21"/>
              </w:rPr>
              <w:t>得分</w:t>
            </w:r>
          </w:p>
        </w:tc>
        <w:tc>
          <w:tcPr>
            <w:tcW w:w="2126" w:type="dxa"/>
            <w:vAlign w:val="center"/>
          </w:tcPr>
          <w:p>
            <w:pPr>
              <w:jc w:val="center"/>
              <w:rPr>
                <w:rFonts w:ascii="宋体" w:hAnsi="宋体" w:eastAsia="宋体"/>
                <w:szCs w:val="21"/>
              </w:rPr>
            </w:pPr>
            <w:r>
              <w:rPr>
                <w:rFonts w:hint="eastAsia" w:ascii="宋体" w:hAnsi="宋体" w:eastAsia="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Merge w:val="restart"/>
            <w:vAlign w:val="center"/>
          </w:tcPr>
          <w:p>
            <w:pPr>
              <w:jc w:val="center"/>
              <w:rPr>
                <w:rFonts w:ascii="宋体" w:hAnsi="宋体" w:eastAsia="宋体"/>
                <w:szCs w:val="21"/>
              </w:rPr>
            </w:pPr>
            <w:r>
              <w:rPr>
                <w:rFonts w:hint="eastAsia" w:ascii="宋体" w:hAnsi="宋体" w:eastAsia="宋体"/>
                <w:bCs/>
                <w:kern w:val="0"/>
                <w:szCs w:val="21"/>
              </w:rPr>
              <w:t>水站运营检查（16分）</w:t>
            </w:r>
          </w:p>
        </w:tc>
        <w:tc>
          <w:tcPr>
            <w:tcW w:w="3544" w:type="dxa"/>
            <w:vAlign w:val="center"/>
          </w:tcPr>
          <w:p>
            <w:pPr>
              <w:jc w:val="center"/>
              <w:rPr>
                <w:rFonts w:ascii="宋体" w:hAnsi="宋体" w:eastAsia="宋体"/>
                <w:szCs w:val="21"/>
              </w:rPr>
            </w:pPr>
            <w:r>
              <w:rPr>
                <w:rFonts w:hint="eastAsia" w:ascii="宋体" w:hAnsi="宋体" w:eastAsia="宋体"/>
                <w:bCs/>
                <w:kern w:val="0"/>
                <w:szCs w:val="21"/>
              </w:rPr>
              <w:t>每月</w:t>
            </w:r>
            <w:r>
              <w:rPr>
                <w:rFonts w:ascii="宋体" w:hAnsi="宋体" w:eastAsia="宋体"/>
                <w:bCs/>
                <w:kern w:val="0"/>
                <w:szCs w:val="21"/>
              </w:rPr>
              <w:t>检查</w:t>
            </w:r>
            <w:r>
              <w:rPr>
                <w:rFonts w:hint="eastAsia" w:ascii="宋体" w:hAnsi="宋体" w:eastAsia="宋体"/>
                <w:bCs/>
                <w:kern w:val="0"/>
                <w:szCs w:val="21"/>
              </w:rPr>
              <w:t>一次水站环境保护及采水系统（8分）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Merge w:val="continue"/>
            <w:vAlign w:val="center"/>
          </w:tcPr>
          <w:p>
            <w:pPr>
              <w:jc w:val="center"/>
              <w:rPr>
                <w:rFonts w:ascii="宋体" w:hAnsi="宋体" w:eastAsia="宋体"/>
                <w:szCs w:val="21"/>
              </w:rPr>
            </w:pPr>
          </w:p>
        </w:tc>
        <w:tc>
          <w:tcPr>
            <w:tcW w:w="3544" w:type="dxa"/>
            <w:vAlign w:val="center"/>
          </w:tcPr>
          <w:p>
            <w:pPr>
              <w:jc w:val="center"/>
              <w:rPr>
                <w:rFonts w:ascii="宋体" w:hAnsi="宋体" w:eastAsia="宋体"/>
                <w:szCs w:val="21"/>
              </w:rPr>
            </w:pPr>
            <w:r>
              <w:rPr>
                <w:rFonts w:hint="eastAsia" w:ascii="宋体" w:hAnsi="宋体" w:eastAsia="宋体"/>
                <w:bCs/>
                <w:kern w:val="0"/>
                <w:szCs w:val="21"/>
              </w:rPr>
              <w:t>每月</w:t>
            </w:r>
            <w:r>
              <w:rPr>
                <w:rFonts w:ascii="宋体" w:hAnsi="宋体" w:eastAsia="宋体"/>
                <w:bCs/>
                <w:kern w:val="0"/>
                <w:szCs w:val="21"/>
              </w:rPr>
              <w:t>检查</w:t>
            </w:r>
            <w:r>
              <w:rPr>
                <w:rFonts w:hint="eastAsia" w:ascii="宋体" w:hAnsi="宋体" w:eastAsia="宋体"/>
                <w:bCs/>
                <w:kern w:val="0"/>
                <w:szCs w:val="21"/>
              </w:rPr>
              <w:t>一次仪器日常维护情况（8分）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Align w:val="center"/>
          </w:tcPr>
          <w:p>
            <w:pPr>
              <w:jc w:val="center"/>
              <w:rPr>
                <w:rFonts w:ascii="宋体" w:hAnsi="宋体" w:eastAsia="宋体"/>
                <w:szCs w:val="21"/>
              </w:rPr>
            </w:pPr>
            <w:r>
              <w:rPr>
                <w:rFonts w:hint="eastAsia" w:ascii="宋体" w:hAnsi="宋体" w:eastAsia="宋体"/>
                <w:bCs/>
                <w:kern w:val="0"/>
                <w:szCs w:val="21"/>
              </w:rPr>
              <w:t>标准样品核查（10分）</w:t>
            </w:r>
          </w:p>
        </w:tc>
        <w:tc>
          <w:tcPr>
            <w:tcW w:w="3544" w:type="dxa"/>
            <w:vAlign w:val="center"/>
          </w:tcPr>
          <w:p>
            <w:pPr>
              <w:jc w:val="center"/>
              <w:rPr>
                <w:rFonts w:ascii="宋体" w:hAnsi="宋体" w:eastAsia="宋体"/>
                <w:szCs w:val="21"/>
              </w:rPr>
            </w:pPr>
            <w:r>
              <w:rPr>
                <w:rFonts w:hint="eastAsia" w:ascii="宋体" w:hAnsi="宋体" w:eastAsia="宋体"/>
                <w:szCs w:val="21"/>
              </w:rPr>
              <w:t>每月</w:t>
            </w:r>
            <w:r>
              <w:rPr>
                <w:rFonts w:hint="eastAsia" w:ascii="宋体" w:hAnsi="宋体" w:eastAsia="宋体"/>
                <w:bCs/>
                <w:kern w:val="0"/>
                <w:szCs w:val="21"/>
              </w:rPr>
              <w:t>化学需氧量和氨氮标准样品核查一次（10分）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Align w:val="center"/>
          </w:tcPr>
          <w:p>
            <w:pPr>
              <w:jc w:val="center"/>
              <w:rPr>
                <w:rFonts w:ascii="宋体" w:hAnsi="宋体" w:eastAsia="宋体"/>
                <w:szCs w:val="21"/>
              </w:rPr>
            </w:pPr>
            <w:r>
              <w:rPr>
                <w:rFonts w:hint="eastAsia" w:ascii="宋体" w:hAnsi="宋体" w:eastAsia="宋体"/>
                <w:bCs/>
                <w:kern w:val="0"/>
                <w:szCs w:val="21"/>
              </w:rPr>
              <w:t>实验室</w:t>
            </w:r>
            <w:r>
              <w:rPr>
                <w:rFonts w:ascii="宋体" w:hAnsi="宋体" w:eastAsia="宋体"/>
                <w:bCs/>
                <w:kern w:val="0"/>
                <w:szCs w:val="21"/>
              </w:rPr>
              <w:t>人工比对</w:t>
            </w:r>
            <w:r>
              <w:rPr>
                <w:rFonts w:hint="eastAsia" w:ascii="宋体" w:hAnsi="宋体" w:eastAsia="宋体"/>
                <w:bCs/>
                <w:kern w:val="0"/>
                <w:szCs w:val="21"/>
              </w:rPr>
              <w:t>检查（20分）</w:t>
            </w:r>
          </w:p>
        </w:tc>
        <w:tc>
          <w:tcPr>
            <w:tcW w:w="3544" w:type="dxa"/>
            <w:vAlign w:val="center"/>
          </w:tcPr>
          <w:p>
            <w:pPr>
              <w:jc w:val="center"/>
              <w:rPr>
                <w:rFonts w:ascii="宋体" w:hAnsi="宋体" w:eastAsia="宋体"/>
                <w:szCs w:val="21"/>
              </w:rPr>
            </w:pPr>
            <w:r>
              <w:rPr>
                <w:rFonts w:hint="eastAsia" w:ascii="宋体" w:hAnsi="宋体" w:eastAsia="宋体"/>
                <w:szCs w:val="21"/>
              </w:rPr>
              <w:t>每季度</w:t>
            </w:r>
            <w:r>
              <w:rPr>
                <w:rFonts w:ascii="宋体" w:hAnsi="宋体" w:eastAsia="宋体"/>
                <w:bCs/>
                <w:kern w:val="0"/>
                <w:szCs w:val="21"/>
              </w:rPr>
              <w:t>化学需氧量</w:t>
            </w:r>
            <w:r>
              <w:rPr>
                <w:rFonts w:hint="eastAsia" w:ascii="宋体" w:hAnsi="宋体" w:eastAsia="宋体"/>
                <w:bCs/>
                <w:kern w:val="0"/>
                <w:szCs w:val="21"/>
              </w:rPr>
              <w:t>、</w:t>
            </w:r>
            <w:r>
              <w:rPr>
                <w:rFonts w:ascii="宋体" w:hAnsi="宋体" w:eastAsia="宋体"/>
                <w:bCs/>
                <w:kern w:val="0"/>
                <w:szCs w:val="21"/>
              </w:rPr>
              <w:t>氨氮</w:t>
            </w:r>
            <w:r>
              <w:rPr>
                <w:rFonts w:hint="eastAsia" w:ascii="宋体" w:hAnsi="宋体" w:eastAsia="宋体"/>
                <w:bCs/>
                <w:kern w:val="0"/>
                <w:szCs w:val="21"/>
              </w:rPr>
              <w:t>、</w:t>
            </w:r>
            <w:r>
              <w:rPr>
                <w:rFonts w:ascii="宋体" w:hAnsi="宋体" w:eastAsia="宋体"/>
                <w:bCs/>
                <w:kern w:val="0"/>
                <w:szCs w:val="21"/>
              </w:rPr>
              <w:t>pH</w:t>
            </w:r>
            <w:r>
              <w:rPr>
                <w:rFonts w:hint="eastAsia" w:ascii="宋体" w:hAnsi="宋体" w:eastAsia="宋体"/>
                <w:bCs/>
                <w:kern w:val="0"/>
                <w:szCs w:val="21"/>
              </w:rPr>
              <w:t>、溶解氧</w:t>
            </w:r>
            <w:r>
              <w:rPr>
                <w:rFonts w:ascii="宋体" w:hAnsi="宋体" w:eastAsia="宋体"/>
                <w:bCs/>
                <w:kern w:val="0"/>
                <w:szCs w:val="21"/>
              </w:rPr>
              <w:t>的人工比对</w:t>
            </w:r>
            <w:r>
              <w:rPr>
                <w:rFonts w:hint="eastAsia" w:ascii="宋体" w:hAnsi="宋体" w:eastAsia="宋体"/>
                <w:bCs/>
                <w:kern w:val="0"/>
                <w:szCs w:val="21"/>
              </w:rPr>
              <w:t>情况检查一次（20分）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Merge w:val="restart"/>
            <w:vAlign w:val="center"/>
          </w:tcPr>
          <w:p>
            <w:pPr>
              <w:jc w:val="center"/>
              <w:rPr>
                <w:rFonts w:ascii="宋体" w:hAnsi="宋体" w:eastAsia="宋体"/>
                <w:szCs w:val="21"/>
              </w:rPr>
            </w:pPr>
            <w:r>
              <w:rPr>
                <w:rFonts w:hint="eastAsia" w:ascii="宋体" w:hAnsi="宋体" w:eastAsia="宋体"/>
                <w:szCs w:val="21"/>
              </w:rPr>
              <w:t>质控计划及报告提交</w:t>
            </w:r>
            <w:r>
              <w:rPr>
                <w:rFonts w:hint="eastAsia" w:ascii="宋体" w:hAnsi="宋体" w:eastAsia="宋体"/>
                <w:bCs/>
                <w:kern w:val="0"/>
                <w:szCs w:val="21"/>
              </w:rPr>
              <w:t>（14分）</w:t>
            </w:r>
          </w:p>
        </w:tc>
        <w:tc>
          <w:tcPr>
            <w:tcW w:w="3544" w:type="dxa"/>
            <w:vAlign w:val="center"/>
          </w:tcPr>
          <w:p>
            <w:pPr>
              <w:jc w:val="center"/>
              <w:rPr>
                <w:rFonts w:ascii="宋体" w:hAnsi="宋体" w:eastAsia="宋体"/>
                <w:szCs w:val="21"/>
              </w:rPr>
            </w:pPr>
            <w:r>
              <w:rPr>
                <w:rFonts w:hint="eastAsia" w:ascii="宋体" w:hAnsi="宋体" w:eastAsia="宋体"/>
                <w:bCs/>
                <w:kern w:val="0"/>
                <w:szCs w:val="21"/>
              </w:rPr>
              <w:t>每月底前提供下月质控计划（7分）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Merge w:val="continue"/>
            <w:vAlign w:val="center"/>
          </w:tcPr>
          <w:p>
            <w:pPr>
              <w:jc w:val="center"/>
              <w:rPr>
                <w:rFonts w:ascii="宋体" w:hAnsi="宋体" w:eastAsia="宋体"/>
                <w:szCs w:val="21"/>
              </w:rPr>
            </w:pPr>
          </w:p>
        </w:tc>
        <w:tc>
          <w:tcPr>
            <w:tcW w:w="3544" w:type="dxa"/>
            <w:vAlign w:val="center"/>
          </w:tcPr>
          <w:p>
            <w:pPr>
              <w:jc w:val="center"/>
              <w:rPr>
                <w:rFonts w:ascii="宋体" w:hAnsi="宋体" w:eastAsia="宋体"/>
                <w:szCs w:val="21"/>
              </w:rPr>
            </w:pPr>
            <w:r>
              <w:rPr>
                <w:rFonts w:hint="eastAsia" w:ascii="宋体" w:hAnsi="宋体" w:eastAsia="宋体"/>
                <w:bCs/>
                <w:kern w:val="0"/>
                <w:szCs w:val="21"/>
              </w:rPr>
              <w:t>每月</w:t>
            </w:r>
            <w:r>
              <w:rPr>
                <w:rFonts w:ascii="宋体" w:hAnsi="宋体" w:eastAsia="宋体"/>
                <w:bCs/>
                <w:kern w:val="0"/>
                <w:szCs w:val="21"/>
              </w:rPr>
              <w:t>10</w:t>
            </w:r>
            <w:r>
              <w:rPr>
                <w:rFonts w:hint="eastAsia" w:ascii="宋体" w:hAnsi="宋体" w:eastAsia="宋体"/>
                <w:bCs/>
                <w:kern w:val="0"/>
                <w:szCs w:val="21"/>
              </w:rPr>
              <w:t>日前提供上月质控报告（7分）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Align w:val="center"/>
          </w:tcPr>
          <w:p>
            <w:pPr>
              <w:jc w:val="center"/>
              <w:rPr>
                <w:rFonts w:ascii="宋体" w:hAnsi="宋体" w:eastAsia="宋体"/>
                <w:szCs w:val="21"/>
              </w:rPr>
            </w:pPr>
            <w:r>
              <w:rPr>
                <w:rFonts w:hint="eastAsia" w:ascii="宋体" w:hAnsi="宋体" w:eastAsia="宋体"/>
                <w:bCs/>
                <w:kern w:val="0"/>
                <w:szCs w:val="21"/>
              </w:rPr>
              <w:t>标准样品</w:t>
            </w:r>
            <w:r>
              <w:rPr>
                <w:rFonts w:ascii="宋体" w:hAnsi="宋体" w:eastAsia="宋体"/>
                <w:bCs/>
                <w:kern w:val="0"/>
                <w:szCs w:val="21"/>
              </w:rPr>
              <w:t>的量值溯源</w:t>
            </w:r>
            <w:r>
              <w:rPr>
                <w:rFonts w:hint="eastAsia" w:ascii="宋体" w:hAnsi="宋体" w:eastAsia="宋体"/>
                <w:bCs/>
                <w:kern w:val="0"/>
                <w:szCs w:val="21"/>
              </w:rPr>
              <w:t>（6分）</w:t>
            </w:r>
          </w:p>
        </w:tc>
        <w:tc>
          <w:tcPr>
            <w:tcW w:w="3544" w:type="dxa"/>
            <w:vAlign w:val="center"/>
          </w:tcPr>
          <w:p>
            <w:pPr>
              <w:jc w:val="center"/>
              <w:rPr>
                <w:rFonts w:ascii="宋体" w:hAnsi="宋体" w:eastAsia="宋体"/>
                <w:szCs w:val="21"/>
              </w:rPr>
            </w:pPr>
            <w:r>
              <w:rPr>
                <w:rFonts w:hint="eastAsia" w:ascii="宋体" w:hAnsi="宋体" w:eastAsia="宋体"/>
                <w:bCs/>
                <w:kern w:val="0"/>
                <w:szCs w:val="21"/>
              </w:rPr>
              <w:t>质控单位应提供标准样品的量值溯源相关证明（6分）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Align w:val="center"/>
          </w:tcPr>
          <w:p>
            <w:pPr>
              <w:jc w:val="center"/>
              <w:rPr>
                <w:rFonts w:ascii="宋体" w:hAnsi="宋体" w:eastAsia="宋体"/>
                <w:szCs w:val="21"/>
              </w:rPr>
            </w:pPr>
            <w:r>
              <w:rPr>
                <w:rFonts w:hint="eastAsia" w:ascii="宋体" w:hAnsi="宋体" w:eastAsia="宋体"/>
                <w:bCs/>
                <w:kern w:val="0"/>
                <w:szCs w:val="21"/>
              </w:rPr>
              <w:t>人工比对规范性（12分）</w:t>
            </w:r>
          </w:p>
        </w:tc>
        <w:tc>
          <w:tcPr>
            <w:tcW w:w="3544" w:type="dxa"/>
            <w:vAlign w:val="center"/>
          </w:tcPr>
          <w:p>
            <w:pPr>
              <w:jc w:val="center"/>
              <w:rPr>
                <w:rFonts w:ascii="宋体" w:hAnsi="宋体" w:eastAsia="宋体"/>
                <w:szCs w:val="21"/>
              </w:rPr>
            </w:pPr>
            <w:r>
              <w:rPr>
                <w:rFonts w:ascii="宋体" w:hAnsi="宋体" w:eastAsia="宋体"/>
                <w:bCs/>
                <w:kern w:val="0"/>
                <w:szCs w:val="21"/>
              </w:rPr>
              <w:t>提供</w:t>
            </w:r>
            <w:r>
              <w:rPr>
                <w:rFonts w:hint="eastAsia" w:ascii="宋体" w:hAnsi="宋体" w:eastAsia="宋体"/>
                <w:bCs/>
                <w:kern w:val="0"/>
                <w:szCs w:val="21"/>
              </w:rPr>
              <w:t>人工比对</w:t>
            </w:r>
            <w:r>
              <w:rPr>
                <w:rFonts w:ascii="宋体" w:hAnsi="宋体" w:eastAsia="宋体"/>
                <w:bCs/>
                <w:kern w:val="0"/>
                <w:szCs w:val="21"/>
              </w:rPr>
              <w:t>的量值溯源相关证明</w:t>
            </w:r>
            <w:r>
              <w:rPr>
                <w:rFonts w:hint="eastAsia" w:ascii="宋体" w:hAnsi="宋体" w:eastAsia="宋体"/>
                <w:bCs/>
                <w:kern w:val="0"/>
                <w:szCs w:val="21"/>
              </w:rPr>
              <w:t>（12分）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Align w:val="center"/>
          </w:tcPr>
          <w:p>
            <w:pPr>
              <w:jc w:val="center"/>
              <w:rPr>
                <w:rFonts w:ascii="宋体" w:hAnsi="宋体" w:eastAsia="宋体"/>
                <w:bCs/>
                <w:kern w:val="0"/>
                <w:szCs w:val="21"/>
              </w:rPr>
            </w:pPr>
            <w:r>
              <w:rPr>
                <w:rFonts w:hint="eastAsia" w:ascii="宋体" w:hAnsi="宋体" w:eastAsia="宋体" w:cs="宋体"/>
                <w:szCs w:val="21"/>
              </w:rPr>
              <w:t>水站质控规范性检查</w:t>
            </w:r>
            <w:r>
              <w:rPr>
                <w:rFonts w:hint="eastAsia" w:ascii="宋体" w:hAnsi="宋体" w:eastAsia="宋体"/>
                <w:bCs/>
                <w:kern w:val="0"/>
                <w:szCs w:val="21"/>
              </w:rPr>
              <w:t>（10分）</w:t>
            </w:r>
          </w:p>
        </w:tc>
        <w:tc>
          <w:tcPr>
            <w:tcW w:w="3544" w:type="dxa"/>
            <w:vAlign w:val="center"/>
          </w:tcPr>
          <w:p>
            <w:pPr>
              <w:jc w:val="center"/>
              <w:rPr>
                <w:rFonts w:ascii="宋体" w:hAnsi="宋体" w:eastAsia="宋体"/>
                <w:bCs/>
                <w:kern w:val="0"/>
                <w:szCs w:val="21"/>
              </w:rPr>
            </w:pPr>
            <w:r>
              <w:rPr>
                <w:rFonts w:hint="eastAsia" w:ascii="宋体" w:hAnsi="宋体" w:eastAsia="宋体" w:cs="宋体"/>
                <w:szCs w:val="21"/>
              </w:rPr>
              <w:t>每月对水站质控管理规范性报告、记录、管理制度等检查</w:t>
            </w:r>
            <w:r>
              <w:rPr>
                <w:rFonts w:hint="eastAsia" w:ascii="宋体" w:hAnsi="宋体" w:eastAsia="宋体"/>
                <w:bCs/>
                <w:kern w:val="0"/>
                <w:szCs w:val="21"/>
              </w:rPr>
              <w:t>（10分）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Merge w:val="restart"/>
            <w:vAlign w:val="center"/>
          </w:tcPr>
          <w:p>
            <w:pPr>
              <w:jc w:val="center"/>
              <w:rPr>
                <w:rFonts w:ascii="宋体" w:hAnsi="宋体" w:eastAsia="宋体"/>
                <w:bCs/>
                <w:kern w:val="0"/>
                <w:szCs w:val="21"/>
              </w:rPr>
            </w:pPr>
            <w:r>
              <w:rPr>
                <w:rFonts w:hint="eastAsia" w:ascii="宋体" w:hAnsi="宋体" w:eastAsia="宋体" w:cs="宋体"/>
                <w:szCs w:val="21"/>
              </w:rPr>
              <w:t>计划外质控核查</w:t>
            </w:r>
            <w:r>
              <w:rPr>
                <w:rFonts w:hint="eastAsia" w:ascii="宋体" w:hAnsi="宋体" w:eastAsia="宋体"/>
                <w:bCs/>
                <w:kern w:val="0"/>
                <w:szCs w:val="21"/>
              </w:rPr>
              <w:t>（12分）</w:t>
            </w:r>
          </w:p>
        </w:tc>
        <w:tc>
          <w:tcPr>
            <w:tcW w:w="3544" w:type="dxa"/>
            <w:vAlign w:val="center"/>
          </w:tcPr>
          <w:p>
            <w:pPr>
              <w:jc w:val="center"/>
              <w:rPr>
                <w:rFonts w:ascii="宋体" w:hAnsi="宋体" w:eastAsia="宋体"/>
                <w:bCs/>
                <w:kern w:val="0"/>
                <w:szCs w:val="21"/>
              </w:rPr>
            </w:pPr>
            <w:r>
              <w:rPr>
                <w:rFonts w:hint="eastAsia" w:ascii="宋体" w:hAnsi="宋体" w:eastAsia="宋体" w:cs="宋体"/>
                <w:szCs w:val="21"/>
              </w:rPr>
              <w:t>专项质控检查</w:t>
            </w:r>
            <w:r>
              <w:rPr>
                <w:rFonts w:hint="eastAsia" w:ascii="宋体" w:hAnsi="宋体" w:eastAsia="宋体"/>
                <w:bCs/>
                <w:kern w:val="0"/>
                <w:szCs w:val="21"/>
              </w:rPr>
              <w:t>（4分）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Merge w:val="continue"/>
            <w:vAlign w:val="center"/>
          </w:tcPr>
          <w:p>
            <w:pPr>
              <w:jc w:val="center"/>
              <w:rPr>
                <w:rFonts w:ascii="宋体" w:hAnsi="宋体" w:eastAsia="宋体"/>
                <w:bCs/>
                <w:kern w:val="0"/>
                <w:szCs w:val="21"/>
              </w:rPr>
            </w:pPr>
          </w:p>
        </w:tc>
        <w:tc>
          <w:tcPr>
            <w:tcW w:w="3544" w:type="dxa"/>
            <w:vAlign w:val="center"/>
          </w:tcPr>
          <w:p>
            <w:pPr>
              <w:jc w:val="center"/>
              <w:rPr>
                <w:rFonts w:ascii="宋体" w:hAnsi="宋体" w:eastAsia="宋体"/>
                <w:bCs/>
                <w:kern w:val="0"/>
                <w:szCs w:val="21"/>
              </w:rPr>
            </w:pPr>
            <w:r>
              <w:rPr>
                <w:rFonts w:hint="eastAsia" w:ascii="宋体" w:hAnsi="宋体" w:eastAsia="宋体" w:cs="宋体"/>
                <w:szCs w:val="21"/>
              </w:rPr>
              <w:t>突发质量事故跟踪核查</w:t>
            </w:r>
            <w:r>
              <w:rPr>
                <w:rFonts w:hint="eastAsia" w:ascii="宋体" w:hAnsi="宋体" w:eastAsia="宋体"/>
                <w:bCs/>
                <w:kern w:val="0"/>
                <w:szCs w:val="21"/>
              </w:rPr>
              <w:t>（4分）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Merge w:val="continue"/>
            <w:vAlign w:val="center"/>
          </w:tcPr>
          <w:p>
            <w:pPr>
              <w:jc w:val="center"/>
              <w:rPr>
                <w:rFonts w:ascii="宋体" w:hAnsi="宋体" w:eastAsia="宋体"/>
                <w:bCs/>
                <w:kern w:val="0"/>
                <w:szCs w:val="21"/>
              </w:rPr>
            </w:pPr>
          </w:p>
        </w:tc>
        <w:tc>
          <w:tcPr>
            <w:tcW w:w="3544" w:type="dxa"/>
            <w:vAlign w:val="center"/>
          </w:tcPr>
          <w:p>
            <w:pPr>
              <w:jc w:val="center"/>
              <w:rPr>
                <w:rFonts w:ascii="宋体" w:hAnsi="宋体" w:eastAsia="宋体"/>
                <w:bCs/>
                <w:kern w:val="0"/>
                <w:szCs w:val="21"/>
              </w:rPr>
            </w:pPr>
            <w:r>
              <w:rPr>
                <w:rFonts w:hint="eastAsia" w:ascii="宋体" w:hAnsi="宋体" w:eastAsia="宋体" w:cs="宋体"/>
                <w:szCs w:val="21"/>
              </w:rPr>
              <w:t>应急监测质控支持</w:t>
            </w:r>
            <w:r>
              <w:rPr>
                <w:rFonts w:hint="eastAsia" w:ascii="宋体" w:hAnsi="宋体" w:eastAsia="宋体"/>
                <w:bCs/>
                <w:kern w:val="0"/>
                <w:szCs w:val="21"/>
              </w:rPr>
              <w:t>（4分）</w:t>
            </w: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vAlign w:val="center"/>
          </w:tcPr>
          <w:p>
            <w:pPr>
              <w:jc w:val="center"/>
              <w:rPr>
                <w:rFonts w:ascii="宋体" w:hAnsi="宋体" w:eastAsia="宋体"/>
                <w:bCs/>
                <w:kern w:val="0"/>
                <w:szCs w:val="21"/>
              </w:rPr>
            </w:pPr>
          </w:p>
        </w:tc>
        <w:tc>
          <w:tcPr>
            <w:tcW w:w="3544" w:type="dxa"/>
            <w:vAlign w:val="center"/>
          </w:tcPr>
          <w:p>
            <w:pPr>
              <w:jc w:val="center"/>
              <w:rPr>
                <w:rFonts w:ascii="宋体" w:hAnsi="宋体" w:eastAsia="宋体" w:cs="宋体"/>
                <w:szCs w:val="21"/>
              </w:rPr>
            </w:pPr>
          </w:p>
        </w:tc>
        <w:tc>
          <w:tcPr>
            <w:tcW w:w="851"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r>
    </w:tbl>
    <w:p>
      <w:pPr>
        <w:spacing w:line="360" w:lineRule="auto"/>
        <w:rPr>
          <w:rFonts w:ascii="宋体" w:hAnsi="宋体" w:eastAsia="宋体"/>
          <w:sz w:val="24"/>
        </w:rPr>
      </w:pPr>
      <w:r>
        <w:rPr>
          <w:rFonts w:hint="eastAsia" w:ascii="宋体" w:hAnsi="宋体" w:eastAsia="宋体" w:cs="宋体"/>
          <w:sz w:val="24"/>
        </w:rPr>
        <w:t>注：表中各项按分项进行扣分，分项分数扣完为止，不从总分中扣除</w:t>
      </w:r>
      <w:r>
        <w:rPr>
          <w:rFonts w:hint="eastAsia" w:ascii="宋体" w:hAnsi="宋体" w:eastAsia="宋体" w:cs="宋体"/>
          <w:sz w:val="24"/>
          <w:lang w:val="en-GB"/>
        </w:rPr>
        <w:t>。</w:t>
      </w:r>
    </w:p>
    <w:p>
      <w:pPr>
        <w:spacing w:line="360" w:lineRule="auto"/>
        <w:rPr>
          <w:rFonts w:ascii="宋体" w:hAnsi="宋体" w:eastAsia="宋体"/>
          <w:b/>
          <w:sz w:val="30"/>
          <w:szCs w:val="30"/>
        </w:rPr>
      </w:pPr>
    </w:p>
    <w:p>
      <w:pPr>
        <w:spacing w:line="360" w:lineRule="auto"/>
        <w:rPr>
          <w:rFonts w:ascii="宋体" w:hAnsi="宋体" w:eastAsia="宋体"/>
          <w:b/>
          <w:sz w:val="30"/>
          <w:szCs w:val="30"/>
        </w:rPr>
      </w:pPr>
    </w:p>
    <w:p>
      <w:pPr>
        <w:spacing w:line="360" w:lineRule="auto"/>
        <w:rPr>
          <w:rFonts w:ascii="宋体" w:hAnsi="宋体" w:eastAsia="宋体"/>
          <w:b/>
          <w:sz w:val="30"/>
          <w:szCs w:val="30"/>
        </w:rPr>
      </w:pPr>
    </w:p>
    <w:p>
      <w:pPr>
        <w:spacing w:line="360" w:lineRule="auto"/>
        <w:rPr>
          <w:rFonts w:ascii="宋体" w:hAnsi="宋体" w:eastAsia="宋体"/>
          <w:b/>
          <w:sz w:val="30"/>
          <w:szCs w:val="30"/>
        </w:rPr>
      </w:pPr>
    </w:p>
    <w:p>
      <w:pPr>
        <w:spacing w:line="360" w:lineRule="auto"/>
        <w:rPr>
          <w:rFonts w:ascii="宋体" w:hAnsi="宋体" w:eastAsia="宋体"/>
          <w:b/>
          <w:sz w:val="30"/>
          <w:szCs w:val="30"/>
        </w:rPr>
      </w:pPr>
    </w:p>
    <w:p>
      <w:pPr>
        <w:spacing w:line="360" w:lineRule="auto"/>
        <w:rPr>
          <w:rFonts w:ascii="宋体" w:hAnsi="宋体" w:eastAsia="宋体"/>
          <w:b/>
          <w:sz w:val="30"/>
          <w:szCs w:val="30"/>
        </w:rPr>
      </w:pPr>
    </w:p>
    <w:p>
      <w:pPr>
        <w:spacing w:line="360" w:lineRule="auto"/>
        <w:rPr>
          <w:rFonts w:ascii="宋体" w:hAnsi="宋体" w:eastAsia="宋体"/>
          <w:b/>
          <w:sz w:val="30"/>
          <w:szCs w:val="30"/>
        </w:rPr>
      </w:pPr>
    </w:p>
    <w:p>
      <w:pPr>
        <w:spacing w:line="360" w:lineRule="auto"/>
        <w:rPr>
          <w:rFonts w:ascii="宋体" w:hAnsi="宋体" w:eastAsia="宋体"/>
          <w:sz w:val="24"/>
        </w:rPr>
      </w:pPr>
    </w:p>
    <w:p>
      <w:pPr>
        <w:spacing w:line="360" w:lineRule="auto"/>
        <w:rPr>
          <w:rFonts w:ascii="宋体" w:hAnsi="宋体" w:eastAsia="宋体"/>
          <w:sz w:val="24"/>
        </w:rPr>
        <w:sectPr>
          <w:pgSz w:w="11906" w:h="16838"/>
          <w:pgMar w:top="1440" w:right="1800" w:bottom="1440" w:left="1800" w:header="851" w:footer="992" w:gutter="0"/>
          <w:cols w:space="425" w:num="1"/>
          <w:docGrid w:type="lines" w:linePitch="312" w:charSpace="0"/>
        </w:sectPr>
      </w:pPr>
    </w:p>
    <w:p>
      <w:pPr>
        <w:rPr>
          <w:rFonts w:eastAsiaTheme="minorEastAsia"/>
        </w:rPr>
      </w:pPr>
    </w:p>
    <w:bookmarkEnd w:id="17"/>
    <w:bookmarkEnd w:id="18"/>
    <w:bookmarkEnd w:id="19"/>
    <w:bookmarkEnd w:id="20"/>
    <w:bookmarkEnd w:id="21"/>
    <w:p>
      <w:pPr>
        <w:pStyle w:val="34"/>
        <w:spacing w:line="500" w:lineRule="atLeast"/>
        <w:outlineLvl w:val="0"/>
        <w:rPr>
          <w:rFonts w:ascii="宋体" w:hAnsi="宋体" w:eastAsia="宋体" w:cs="宋体"/>
          <w:b/>
          <w:bCs/>
          <w:spacing w:val="0"/>
          <w:sz w:val="36"/>
          <w:szCs w:val="36"/>
        </w:rPr>
      </w:pPr>
      <w:bookmarkStart w:id="87" w:name="_Toc31891"/>
      <w:bookmarkStart w:id="88" w:name="_Toc11833"/>
      <w:bookmarkStart w:id="89" w:name="_Toc10988"/>
      <w:bookmarkStart w:id="90" w:name="_Toc31719"/>
      <w:bookmarkStart w:id="91" w:name="_Toc26089"/>
      <w:bookmarkStart w:id="92" w:name="_Toc28697"/>
      <w:bookmarkStart w:id="93" w:name="_Toc5388"/>
      <w:bookmarkStart w:id="94" w:name="_Toc373"/>
      <w:bookmarkStart w:id="95" w:name="_Toc294124219"/>
      <w:bookmarkStart w:id="96" w:name="_Toc11735"/>
      <w:r>
        <w:rPr>
          <w:rFonts w:hint="eastAsia" w:ascii="宋体" w:hAnsi="宋体" w:eastAsia="宋体" w:cs="宋体"/>
          <w:b/>
          <w:bCs/>
          <w:spacing w:val="0"/>
          <w:sz w:val="36"/>
          <w:szCs w:val="36"/>
        </w:rPr>
        <w:t xml:space="preserve">第四部分  </w:t>
      </w:r>
      <w:bookmarkEnd w:id="87"/>
      <w:bookmarkEnd w:id="88"/>
      <w:bookmarkEnd w:id="89"/>
      <w:bookmarkEnd w:id="90"/>
      <w:bookmarkEnd w:id="91"/>
      <w:bookmarkEnd w:id="92"/>
      <w:bookmarkEnd w:id="93"/>
      <w:bookmarkEnd w:id="94"/>
      <w:r>
        <w:rPr>
          <w:rFonts w:hint="eastAsia" w:ascii="宋体" w:hAnsi="宋体" w:eastAsia="宋体" w:cs="宋体"/>
          <w:b/>
          <w:bCs/>
          <w:spacing w:val="0"/>
          <w:sz w:val="36"/>
          <w:szCs w:val="36"/>
        </w:rPr>
        <w:t>开标、评标、定标</w:t>
      </w:r>
    </w:p>
    <w:p>
      <w:pPr>
        <w:pStyle w:val="35"/>
        <w:widowControl/>
        <w:spacing w:line="600" w:lineRule="atLeast"/>
        <w:jc w:val="both"/>
        <w:outlineLvl w:val="1"/>
        <w:rPr>
          <w:rFonts w:ascii="宋体" w:hAnsi="宋体" w:eastAsia="宋体" w:cs="宋体"/>
          <w:sz w:val="28"/>
          <w:szCs w:val="28"/>
        </w:rPr>
      </w:pPr>
      <w:bookmarkStart w:id="97" w:name="_Toc426379919"/>
      <w:bookmarkStart w:id="98" w:name="_Toc426379371"/>
      <w:r>
        <w:rPr>
          <w:rFonts w:hint="eastAsia" w:ascii="宋体" w:hAnsi="宋体" w:eastAsia="宋体" w:cs="宋体"/>
          <w:b/>
          <w:bCs/>
          <w:sz w:val="28"/>
          <w:szCs w:val="28"/>
        </w:rPr>
        <w:t>一、投标文件的递交及开标仪式</w:t>
      </w:r>
      <w:bookmarkEnd w:id="97"/>
      <w:bookmarkEnd w:id="98"/>
    </w:p>
    <w:p>
      <w:pPr>
        <w:pStyle w:val="32"/>
        <w:spacing w:line="500" w:lineRule="atLeast"/>
        <w:ind w:firstLine="0" w:firstLineChars="0"/>
        <w:rPr>
          <w:rFonts w:ascii="宋体" w:hAnsi="宋体" w:eastAsia="宋体" w:cs="宋体"/>
        </w:rPr>
      </w:pPr>
      <w:r>
        <w:rPr>
          <w:rFonts w:hint="eastAsia" w:ascii="宋体" w:hAnsi="宋体" w:eastAsia="宋体" w:cs="宋体"/>
        </w:rPr>
        <w:t>1.投标文件递交时间、地点</w:t>
      </w:r>
    </w:p>
    <w:p>
      <w:pPr>
        <w:pStyle w:val="32"/>
        <w:spacing w:line="500" w:lineRule="atLeast"/>
        <w:ind w:firstLine="0" w:firstLineChars="0"/>
        <w:rPr>
          <w:rFonts w:ascii="宋体" w:hAnsi="宋体" w:eastAsia="宋体" w:cs="宋体"/>
        </w:rPr>
      </w:pPr>
      <w:r>
        <w:rPr>
          <w:rFonts w:hint="eastAsia" w:ascii="宋体" w:hAnsi="宋体" w:eastAsia="宋体" w:cs="宋体"/>
        </w:rPr>
        <w:t xml:space="preserve">  </w:t>
      </w:r>
      <w:r>
        <w:rPr>
          <w:rFonts w:hint="eastAsia" w:ascii="宋体" w:hAnsi="宋体" w:eastAsia="宋体" w:cs="宋体"/>
          <w:lang w:val="zh-CN"/>
        </w:rPr>
        <w:t>时</w:t>
      </w:r>
      <w:r>
        <w:rPr>
          <w:rFonts w:hint="eastAsia" w:ascii="宋体" w:hAnsi="宋体" w:eastAsia="宋体" w:cs="宋体"/>
        </w:rPr>
        <w:t xml:space="preserve"> </w:t>
      </w:r>
      <w:r>
        <w:rPr>
          <w:rFonts w:hint="eastAsia" w:ascii="宋体" w:hAnsi="宋体" w:eastAsia="宋体" w:cs="宋体"/>
          <w:lang w:val="zh-CN"/>
        </w:rPr>
        <w:t>间：详见前附表</w:t>
      </w:r>
    </w:p>
    <w:p>
      <w:pPr>
        <w:pStyle w:val="32"/>
        <w:spacing w:line="500" w:lineRule="atLeast"/>
        <w:ind w:firstLine="0" w:firstLineChars="0"/>
        <w:rPr>
          <w:rFonts w:ascii="宋体" w:hAnsi="宋体" w:eastAsia="宋体" w:cs="宋体"/>
          <w:lang w:val="zh-CN"/>
        </w:rPr>
      </w:pPr>
      <w:r>
        <w:rPr>
          <w:rFonts w:hint="eastAsia" w:ascii="宋体" w:hAnsi="宋体" w:eastAsia="宋体" w:cs="宋体"/>
        </w:rPr>
        <w:t xml:space="preserve">  地 点：</w:t>
      </w:r>
      <w:r>
        <w:rPr>
          <w:rFonts w:hint="eastAsia" w:ascii="宋体" w:hAnsi="宋体" w:eastAsia="宋体" w:cs="宋体"/>
          <w:lang w:val="zh-CN"/>
        </w:rPr>
        <w:t>详见前附表</w:t>
      </w:r>
    </w:p>
    <w:p>
      <w:pPr>
        <w:pStyle w:val="32"/>
        <w:spacing w:line="500" w:lineRule="atLeast"/>
        <w:ind w:firstLine="0" w:firstLineChars="0"/>
        <w:rPr>
          <w:rFonts w:ascii="宋体" w:hAnsi="宋体" w:eastAsia="宋体" w:cs="宋体"/>
        </w:rPr>
      </w:pPr>
      <w:r>
        <w:rPr>
          <w:rFonts w:hint="eastAsia" w:ascii="宋体" w:hAnsi="宋体" w:eastAsia="宋体" w:cs="宋体"/>
        </w:rPr>
        <w:t>2.开标时间、地点</w:t>
      </w:r>
    </w:p>
    <w:p>
      <w:pPr>
        <w:pStyle w:val="32"/>
        <w:spacing w:line="500" w:lineRule="atLeast"/>
        <w:ind w:firstLine="0" w:firstLineChars="0"/>
        <w:rPr>
          <w:rFonts w:ascii="宋体" w:hAnsi="宋体" w:eastAsia="宋体" w:cs="宋体"/>
          <w:lang w:val="zh-CN"/>
        </w:rPr>
      </w:pPr>
      <w:r>
        <w:rPr>
          <w:rFonts w:hint="eastAsia" w:ascii="宋体" w:hAnsi="宋体" w:eastAsia="宋体" w:cs="宋体"/>
        </w:rPr>
        <w:t xml:space="preserve">  </w:t>
      </w:r>
      <w:r>
        <w:rPr>
          <w:rFonts w:hint="eastAsia" w:ascii="宋体" w:hAnsi="宋体" w:eastAsia="宋体" w:cs="宋体"/>
          <w:lang w:val="zh-CN"/>
        </w:rPr>
        <w:t>时</w:t>
      </w:r>
      <w:r>
        <w:rPr>
          <w:rFonts w:hint="eastAsia" w:ascii="宋体" w:hAnsi="宋体" w:eastAsia="宋体" w:cs="宋体"/>
        </w:rPr>
        <w:t xml:space="preserve"> </w:t>
      </w:r>
      <w:r>
        <w:rPr>
          <w:rFonts w:hint="eastAsia" w:ascii="宋体" w:hAnsi="宋体" w:eastAsia="宋体" w:cs="宋体"/>
          <w:lang w:val="zh-CN"/>
        </w:rPr>
        <w:t>间</w:t>
      </w:r>
      <w:r>
        <w:rPr>
          <w:rFonts w:hint="eastAsia" w:ascii="宋体" w:hAnsi="宋体" w:eastAsia="宋体" w:cs="宋体"/>
        </w:rPr>
        <w:t>：</w:t>
      </w:r>
      <w:r>
        <w:rPr>
          <w:rFonts w:hint="eastAsia" w:ascii="宋体" w:hAnsi="宋体" w:eastAsia="宋体" w:cs="宋体"/>
          <w:lang w:val="zh-CN"/>
        </w:rPr>
        <w:t>详见前附表</w:t>
      </w:r>
    </w:p>
    <w:p>
      <w:pPr>
        <w:pStyle w:val="32"/>
        <w:spacing w:line="500" w:lineRule="atLeast"/>
        <w:ind w:firstLine="0" w:firstLineChars="0"/>
        <w:rPr>
          <w:rFonts w:ascii="宋体" w:hAnsi="宋体" w:eastAsia="宋体" w:cs="宋体"/>
          <w:lang w:val="zh-CN"/>
        </w:rPr>
      </w:pPr>
      <w:r>
        <w:rPr>
          <w:rFonts w:hint="eastAsia" w:ascii="宋体" w:hAnsi="宋体" w:eastAsia="宋体" w:cs="宋体"/>
        </w:rPr>
        <w:t xml:space="preserve">  地 点：</w:t>
      </w:r>
      <w:r>
        <w:rPr>
          <w:rFonts w:hint="eastAsia" w:ascii="宋体" w:hAnsi="宋体" w:eastAsia="宋体" w:cs="宋体"/>
          <w:lang w:val="zh-CN"/>
        </w:rPr>
        <w:t xml:space="preserve">详见前附表 </w:t>
      </w:r>
    </w:p>
    <w:p>
      <w:pPr>
        <w:pStyle w:val="32"/>
        <w:spacing w:line="500" w:lineRule="atLeast"/>
        <w:ind w:firstLine="0" w:firstLineChars="0"/>
        <w:rPr>
          <w:rFonts w:ascii="宋体" w:hAnsi="宋体" w:eastAsia="宋体" w:cs="宋体"/>
        </w:rPr>
      </w:pPr>
      <w:r>
        <w:rPr>
          <w:rFonts w:hint="eastAsia" w:ascii="宋体" w:hAnsi="宋体" w:eastAsia="宋体" w:cs="宋体"/>
        </w:rPr>
        <w:t>3.招标代理机构组织投标文件的递交，递交投标文件的投标人代表应签字确认。</w:t>
      </w:r>
    </w:p>
    <w:p>
      <w:pPr>
        <w:spacing w:line="500" w:lineRule="atLeast"/>
        <w:rPr>
          <w:rFonts w:ascii="宋体" w:hAnsi="宋体" w:eastAsia="宋体" w:cs="宋体"/>
          <w:spacing w:val="6"/>
          <w:sz w:val="24"/>
        </w:rPr>
      </w:pPr>
      <w:r>
        <w:rPr>
          <w:rFonts w:hint="eastAsia" w:ascii="宋体" w:hAnsi="宋体" w:eastAsia="宋体" w:cs="宋体"/>
          <w:spacing w:val="6"/>
          <w:sz w:val="24"/>
        </w:rPr>
        <w:t>4.见证律师对各投标人提交的投标文件密封情况按签到顺序进行检查，并当场宣布检查结果。</w:t>
      </w:r>
    </w:p>
    <w:p>
      <w:pPr>
        <w:spacing w:line="500" w:lineRule="atLeast"/>
        <w:rPr>
          <w:rFonts w:ascii="宋体" w:hAnsi="宋体" w:eastAsia="宋体" w:cs="宋体"/>
          <w:spacing w:val="6"/>
          <w:sz w:val="24"/>
        </w:rPr>
      </w:pPr>
      <w:r>
        <w:rPr>
          <w:rFonts w:hint="eastAsia" w:ascii="宋体" w:hAnsi="宋体" w:eastAsia="宋体" w:cs="宋体"/>
          <w:spacing w:val="6"/>
          <w:sz w:val="24"/>
        </w:rPr>
        <w:t>5.唱标：工作人员当众按投标人的签到顺序开启唱标一览表，唱标员宣读投标人名称、投标报价等主要内容，法定代表人或其授权代表现场签字确认。</w:t>
      </w:r>
    </w:p>
    <w:p>
      <w:pPr>
        <w:spacing w:line="500" w:lineRule="atLeast"/>
        <w:rPr>
          <w:rFonts w:ascii="宋体" w:hAnsi="宋体" w:eastAsia="宋体" w:cs="宋体"/>
          <w:spacing w:val="6"/>
          <w:sz w:val="24"/>
        </w:rPr>
      </w:pPr>
      <w:r>
        <w:rPr>
          <w:rFonts w:hint="eastAsia" w:ascii="宋体" w:hAnsi="宋体" w:eastAsia="宋体" w:cs="宋体"/>
          <w:spacing w:val="6"/>
          <w:sz w:val="24"/>
        </w:rPr>
        <w:t>6.开标会议结束后，见证律师对投标人的投标人相关资格证书进行审验。</w:t>
      </w:r>
    </w:p>
    <w:p>
      <w:pPr>
        <w:spacing w:line="360" w:lineRule="auto"/>
        <w:jc w:val="left"/>
        <w:rPr>
          <w:rFonts w:hint="eastAsia" w:ascii="宋体" w:hAnsi="宋体" w:eastAsia="宋体" w:cs="宋体"/>
          <w:b/>
          <w:bCs/>
          <w:spacing w:val="6"/>
          <w:sz w:val="24"/>
        </w:rPr>
      </w:pPr>
      <w:r>
        <w:rPr>
          <w:rFonts w:hint="eastAsia" w:ascii="宋体" w:hAnsi="宋体" w:eastAsia="宋体" w:cs="宋体"/>
          <w:b/>
          <w:bCs/>
          <w:spacing w:val="6"/>
          <w:sz w:val="24"/>
        </w:rPr>
        <w:t>为方便见证律师检查投标人的资格，请投标人将</w:t>
      </w:r>
    </w:p>
    <w:p>
      <w:pPr>
        <w:spacing w:line="360" w:lineRule="auto"/>
        <w:jc w:val="left"/>
        <w:rPr>
          <w:rFonts w:ascii="宋体" w:hAnsi="宋体" w:eastAsia="宋体" w:cs="宋体"/>
          <w:sz w:val="24"/>
        </w:rPr>
      </w:pPr>
      <w:r>
        <w:rPr>
          <w:rFonts w:hint="eastAsia" w:ascii="宋体" w:hAnsi="宋体" w:eastAsia="宋体" w:cs="宋体"/>
          <w:sz w:val="24"/>
        </w:rPr>
        <w:t>（1）企业营业执照副本复印件加盖公章；</w:t>
      </w:r>
    </w:p>
    <w:p>
      <w:pPr>
        <w:spacing w:line="360" w:lineRule="auto"/>
        <w:jc w:val="left"/>
        <w:rPr>
          <w:rFonts w:ascii="宋体" w:hAnsi="宋体" w:eastAsia="宋体" w:cs="宋体"/>
          <w:sz w:val="24"/>
        </w:rPr>
      </w:pPr>
      <w:r>
        <w:rPr>
          <w:rFonts w:hint="eastAsia" w:ascii="宋体" w:hAnsi="宋体" w:eastAsia="宋体" w:cs="宋体"/>
          <w:sz w:val="24"/>
        </w:rPr>
        <w:t>（2）</w:t>
      </w:r>
      <w:r>
        <w:rPr>
          <w:rFonts w:hint="eastAsia" w:asciiTheme="minorEastAsia" w:hAnsiTheme="minorEastAsia" w:eastAsiaTheme="minorEastAsia" w:cstheme="minorEastAsia"/>
          <w:sz w:val="24"/>
        </w:rPr>
        <w:t>2017</w:t>
      </w:r>
      <w:r>
        <w:rPr>
          <w:rFonts w:hint="eastAsia" w:asciiTheme="minorEastAsia" w:hAnsiTheme="minorEastAsia" w:eastAsiaTheme="minorEastAsia" w:cstheme="minorEastAsia"/>
          <w:sz w:val="24"/>
          <w:lang w:eastAsia="zh-CN"/>
        </w:rPr>
        <w:t>或</w:t>
      </w:r>
      <w:r>
        <w:rPr>
          <w:rFonts w:hint="eastAsia" w:asciiTheme="minorEastAsia" w:hAnsiTheme="minorEastAsia" w:eastAsiaTheme="minorEastAsia" w:cstheme="minorEastAsia"/>
          <w:sz w:val="24"/>
        </w:rPr>
        <w:t>2018年财务状况报告复印件，其他组织或投标人新成立不足两年，提供银行出具的资信证明材料复印件；</w:t>
      </w:r>
    </w:p>
    <w:p>
      <w:pPr>
        <w:spacing w:line="360" w:lineRule="auto"/>
        <w:jc w:val="left"/>
        <w:rPr>
          <w:rFonts w:asciiTheme="minorEastAsia" w:hAnsiTheme="minorEastAsia" w:eastAsiaTheme="minorEastAsia" w:cstheme="minorEastAsia"/>
          <w:kern w:val="0"/>
          <w:sz w:val="24"/>
        </w:rPr>
      </w:pPr>
      <w:r>
        <w:rPr>
          <w:rFonts w:hint="eastAsia" w:ascii="宋体" w:hAnsi="宋体" w:eastAsia="宋体" w:cs="宋体"/>
          <w:sz w:val="24"/>
        </w:rPr>
        <w:t>（3）</w:t>
      </w:r>
      <w:r>
        <w:rPr>
          <w:rFonts w:hint="eastAsia" w:asciiTheme="minorEastAsia" w:hAnsiTheme="minorEastAsia" w:eastAsiaTheme="minorEastAsia" w:cstheme="minorEastAsia"/>
          <w:kern w:val="0"/>
          <w:sz w:val="24"/>
        </w:rPr>
        <w:t>2018年09月至今任意连续三个月完税证明</w:t>
      </w:r>
      <w:r>
        <w:rPr>
          <w:rFonts w:hint="eastAsia" w:asciiTheme="minorEastAsia" w:hAnsiTheme="minorEastAsia" w:eastAsiaTheme="minorEastAsia" w:cstheme="minorEastAsia"/>
          <w:sz w:val="24"/>
        </w:rPr>
        <w:t>材料复印件；如依法免税的，应提供</w:t>
      </w:r>
      <w:r>
        <w:rPr>
          <w:rFonts w:hint="eastAsia" w:asciiTheme="minorEastAsia" w:hAnsiTheme="minorEastAsia" w:eastAsiaTheme="minorEastAsia" w:cstheme="minorEastAsia"/>
          <w:kern w:val="0"/>
          <w:sz w:val="24"/>
        </w:rPr>
        <w:t>相应文件证明其依法免税；</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（4）2018年09月至今任意连续三个月的缴纳社会保险的凭据证明材料复印件；如依法不需要缴纳社会保障资金的，应提供相应文件证明其依法不需要缴纳社会保障资金；</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（5）参加政府采购前三年内，在经营活动中没有重大违法记录声明复印件加盖公章；</w:t>
      </w:r>
    </w:p>
    <w:p>
      <w:pPr>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）法人授权委托书及受委托人身份证。</w:t>
      </w:r>
    </w:p>
    <w:p>
      <w:pPr>
        <w:spacing w:line="360" w:lineRule="auto"/>
        <w:jc w:val="left"/>
        <w:rPr>
          <w:rFonts w:ascii="宋体" w:hAnsi="宋体" w:eastAsia="宋体" w:cs="宋体"/>
          <w:b/>
          <w:bCs/>
          <w:sz w:val="28"/>
          <w:szCs w:val="28"/>
        </w:rPr>
      </w:pPr>
      <w:r>
        <w:rPr>
          <w:rFonts w:hint="eastAsia" w:ascii="宋体" w:hAnsi="宋体" w:eastAsia="宋体" w:cs="宋体"/>
          <w:b/>
          <w:bCs/>
          <w:spacing w:val="6"/>
          <w:sz w:val="24"/>
        </w:rPr>
        <w:t>以上证件均需提供复印件加盖公章一套。参加开标会议，以备通过资格审查。以上证件如不携带复印件加盖公章视为自动放弃投标资格。</w:t>
      </w:r>
      <w:bookmarkStart w:id="99" w:name="_Toc426379372"/>
      <w:bookmarkStart w:id="100" w:name="_Toc426379920"/>
      <w:bookmarkStart w:id="101" w:name="_Toc183264304"/>
    </w:p>
    <w:p>
      <w:pPr>
        <w:pStyle w:val="35"/>
        <w:spacing w:before="240" w:line="300" w:lineRule="auto"/>
        <w:outlineLvl w:val="1"/>
        <w:rPr>
          <w:rFonts w:ascii="宋体" w:hAnsi="宋体" w:eastAsia="宋体" w:cs="宋体"/>
          <w:sz w:val="28"/>
          <w:szCs w:val="28"/>
        </w:rPr>
      </w:pPr>
      <w:r>
        <w:rPr>
          <w:rFonts w:hint="eastAsia" w:ascii="宋体" w:hAnsi="宋体" w:eastAsia="宋体" w:cs="宋体"/>
          <w:b/>
          <w:bCs/>
          <w:sz w:val="28"/>
          <w:szCs w:val="28"/>
        </w:rPr>
        <w:t>二、评标程序</w:t>
      </w:r>
      <w:bookmarkEnd w:id="99"/>
      <w:bookmarkEnd w:id="100"/>
    </w:p>
    <w:p>
      <w:pPr>
        <w:pStyle w:val="32"/>
        <w:spacing w:line="360" w:lineRule="auto"/>
        <w:ind w:firstLine="0" w:firstLineChars="0"/>
        <w:rPr>
          <w:rFonts w:ascii="宋体" w:hAnsi="宋体" w:eastAsia="宋体" w:cs="宋体"/>
        </w:rPr>
      </w:pPr>
      <w:r>
        <w:rPr>
          <w:rFonts w:hint="eastAsia" w:ascii="宋体" w:hAnsi="宋体" w:eastAsia="宋体" w:cs="宋体"/>
        </w:rPr>
        <w:t>1.组建评标委员会：招标人将根据本项目的特点组建评标委员会，其成员由招标人及有关方面的专家3人及以上单数组成，其中经济、技术等方面的专家不得少于成员总数的三分之二，评标委员会负责对投标文件进行审查、澄清、评审，推荐中标候选人或经招标人授权直接确定中标投标人。</w:t>
      </w:r>
    </w:p>
    <w:p>
      <w:pPr>
        <w:pStyle w:val="32"/>
        <w:spacing w:line="360" w:lineRule="auto"/>
        <w:ind w:firstLine="0" w:firstLineChars="0"/>
        <w:rPr>
          <w:rFonts w:ascii="宋体" w:hAnsi="宋体" w:eastAsia="宋体" w:cs="宋体"/>
        </w:rPr>
      </w:pPr>
      <w:r>
        <w:rPr>
          <w:rFonts w:hint="eastAsia" w:ascii="宋体" w:hAnsi="宋体" w:eastAsia="宋体" w:cs="宋体"/>
        </w:rPr>
        <w:t>2.选举评标委员会组长，由评标委员会组长分工组织评标。</w:t>
      </w:r>
    </w:p>
    <w:p>
      <w:pPr>
        <w:pStyle w:val="32"/>
        <w:spacing w:line="360" w:lineRule="auto"/>
        <w:ind w:firstLine="0" w:firstLineChars="0"/>
        <w:rPr>
          <w:rFonts w:ascii="宋体" w:hAnsi="宋体" w:eastAsia="宋体" w:cs="宋体"/>
        </w:rPr>
      </w:pPr>
      <w:r>
        <w:rPr>
          <w:rFonts w:hint="eastAsia" w:ascii="宋体" w:hAnsi="宋体" w:eastAsia="宋体" w:cs="宋体"/>
        </w:rPr>
        <w:t>3.评标准备工作。</w:t>
      </w:r>
    </w:p>
    <w:p>
      <w:pPr>
        <w:pStyle w:val="32"/>
        <w:spacing w:line="360" w:lineRule="auto"/>
        <w:ind w:firstLine="0" w:firstLineChars="0"/>
        <w:rPr>
          <w:rFonts w:ascii="宋体" w:hAnsi="宋体" w:eastAsia="宋体" w:cs="宋体"/>
        </w:rPr>
      </w:pPr>
      <w:r>
        <w:rPr>
          <w:rFonts w:hint="eastAsia" w:ascii="宋体" w:hAnsi="宋体" w:eastAsia="宋体" w:cs="宋体"/>
        </w:rPr>
        <w:t>4.对投标人进行资格后审、符合性鉴定，审查合格者方可进入下一步评审。</w:t>
      </w:r>
    </w:p>
    <w:p>
      <w:pPr>
        <w:pStyle w:val="32"/>
        <w:spacing w:line="360" w:lineRule="auto"/>
        <w:ind w:firstLine="0" w:firstLineChars="0"/>
        <w:rPr>
          <w:rFonts w:ascii="宋体" w:hAnsi="宋体" w:eastAsia="宋体" w:cs="宋体"/>
        </w:rPr>
      </w:pPr>
      <w:r>
        <w:rPr>
          <w:rFonts w:hint="eastAsia" w:ascii="宋体" w:hAnsi="宋体" w:eastAsia="宋体" w:cs="宋体"/>
        </w:rPr>
        <w:t>5.技术部分评审，参照执行评分细则。</w:t>
      </w:r>
    </w:p>
    <w:p>
      <w:pPr>
        <w:pStyle w:val="32"/>
        <w:spacing w:line="360" w:lineRule="auto"/>
        <w:ind w:firstLine="0" w:firstLineChars="0"/>
        <w:rPr>
          <w:rFonts w:ascii="宋体" w:hAnsi="宋体" w:eastAsia="宋体" w:cs="宋体"/>
        </w:rPr>
      </w:pPr>
      <w:r>
        <w:rPr>
          <w:rFonts w:hint="eastAsia" w:ascii="宋体" w:hAnsi="宋体" w:eastAsia="宋体" w:cs="宋体"/>
        </w:rPr>
        <w:t>6.商务部分评审，参照执行评分细则。</w:t>
      </w:r>
    </w:p>
    <w:p>
      <w:pPr>
        <w:pStyle w:val="32"/>
        <w:spacing w:line="360" w:lineRule="auto"/>
        <w:ind w:firstLine="0" w:firstLineChars="0"/>
        <w:rPr>
          <w:rFonts w:ascii="宋体" w:hAnsi="宋体" w:eastAsia="宋体" w:cs="宋体"/>
        </w:rPr>
      </w:pPr>
      <w:r>
        <w:rPr>
          <w:rFonts w:hint="eastAsia" w:ascii="宋体" w:hAnsi="宋体" w:eastAsia="宋体" w:cs="宋体"/>
        </w:rPr>
        <w:t>7.整理评审结果，编制评标报告并由评标委员会全体成员签字确认后，向招标人递交评标报告。</w:t>
      </w:r>
    </w:p>
    <w:p>
      <w:pPr>
        <w:pStyle w:val="32"/>
        <w:spacing w:line="360" w:lineRule="auto"/>
        <w:ind w:firstLine="0" w:firstLineChars="0"/>
        <w:rPr>
          <w:rFonts w:ascii="宋体" w:hAnsi="宋体" w:eastAsia="宋体" w:cs="宋体"/>
        </w:rPr>
      </w:pPr>
      <w:r>
        <w:rPr>
          <w:rFonts w:hint="eastAsia" w:ascii="宋体" w:hAnsi="宋体" w:eastAsia="宋体" w:cs="宋体"/>
        </w:rPr>
        <w:t>8.评标委员会解散，评标结束。</w:t>
      </w:r>
    </w:p>
    <w:bookmarkEnd w:id="101"/>
    <w:p>
      <w:pPr>
        <w:pStyle w:val="35"/>
        <w:spacing w:before="240" w:line="300" w:lineRule="auto"/>
        <w:outlineLvl w:val="1"/>
        <w:rPr>
          <w:rFonts w:ascii="宋体" w:hAnsi="宋体" w:eastAsia="宋体" w:cs="宋体"/>
          <w:sz w:val="28"/>
          <w:szCs w:val="28"/>
        </w:rPr>
      </w:pPr>
      <w:bookmarkStart w:id="102" w:name="_Toc426379921"/>
      <w:bookmarkStart w:id="103" w:name="_Toc426379373"/>
      <w:r>
        <w:rPr>
          <w:rFonts w:hint="eastAsia" w:ascii="宋体" w:hAnsi="宋体" w:eastAsia="宋体" w:cs="宋体"/>
          <w:b/>
          <w:bCs/>
          <w:sz w:val="28"/>
          <w:szCs w:val="28"/>
        </w:rPr>
        <w:t>三、评标原则和评标办法</w:t>
      </w:r>
      <w:bookmarkEnd w:id="102"/>
      <w:bookmarkEnd w:id="103"/>
    </w:p>
    <w:p>
      <w:pPr>
        <w:pStyle w:val="35"/>
        <w:spacing w:beforeLines="50" w:line="500" w:lineRule="exact"/>
        <w:jc w:val="both"/>
        <w:rPr>
          <w:rFonts w:ascii="宋体" w:hAnsi="宋体" w:eastAsia="宋体" w:cs="宋体"/>
          <w:sz w:val="24"/>
        </w:rPr>
      </w:pPr>
      <w:bookmarkStart w:id="104" w:name="_Toc426379922"/>
      <w:r>
        <w:rPr>
          <w:rFonts w:hint="eastAsia" w:ascii="宋体" w:hAnsi="宋体" w:eastAsia="宋体" w:cs="宋体"/>
          <w:sz w:val="24"/>
        </w:rPr>
        <w:t>（一）</w:t>
      </w:r>
      <w:r>
        <w:rPr>
          <w:rFonts w:hint="eastAsia" w:ascii="宋体" w:hAnsi="宋体" w:eastAsia="宋体" w:cs="宋体"/>
          <w:b/>
          <w:bCs/>
          <w:sz w:val="24"/>
        </w:rPr>
        <w:t>评标原则</w:t>
      </w:r>
      <w:bookmarkEnd w:id="104"/>
    </w:p>
    <w:p>
      <w:pPr>
        <w:pStyle w:val="32"/>
        <w:spacing w:line="360" w:lineRule="auto"/>
        <w:ind w:firstLine="0" w:firstLineChars="0"/>
        <w:rPr>
          <w:rFonts w:ascii="宋体" w:hAnsi="宋体" w:eastAsia="宋体" w:cs="宋体"/>
        </w:rPr>
      </w:pPr>
      <w:r>
        <w:rPr>
          <w:rFonts w:hint="eastAsia" w:ascii="宋体" w:hAnsi="宋体" w:eastAsia="宋体" w:cs="宋体"/>
        </w:rPr>
        <w:t>“公平、公正、择优、效益”为本次评标的基本原则，评标委员会按照这一原则的要求，公正、平等地对待各投标人。同时，在评标过程中恪守以下原则：</w:t>
      </w:r>
    </w:p>
    <w:p>
      <w:pPr>
        <w:pStyle w:val="32"/>
        <w:spacing w:line="360" w:lineRule="auto"/>
        <w:ind w:firstLine="0" w:firstLineChars="0"/>
        <w:rPr>
          <w:rFonts w:ascii="宋体" w:hAnsi="宋体" w:eastAsia="宋体" w:cs="宋体"/>
        </w:rPr>
      </w:pPr>
      <w:r>
        <w:rPr>
          <w:rFonts w:hint="eastAsia" w:ascii="宋体" w:hAnsi="宋体" w:eastAsia="宋体" w:cs="宋体"/>
        </w:rPr>
        <w:t>1.客观性原则：评标委员会将严格按照招标文件的要求，对投标人的投标文件进行认真评审；评标委员会对投标文件的评审仅依据投标文件本身，而不依据投标文件以外的任何因素。</w:t>
      </w:r>
    </w:p>
    <w:p>
      <w:pPr>
        <w:pStyle w:val="32"/>
        <w:spacing w:line="360" w:lineRule="auto"/>
        <w:ind w:firstLine="0" w:firstLineChars="0"/>
        <w:rPr>
          <w:rFonts w:ascii="宋体" w:hAnsi="宋体" w:eastAsia="宋体" w:cs="宋体"/>
        </w:rPr>
      </w:pPr>
      <w:r>
        <w:rPr>
          <w:rFonts w:hint="eastAsia" w:ascii="宋体" w:hAnsi="宋体" w:eastAsia="宋体" w:cs="宋体"/>
        </w:rPr>
        <w:t>2.统一性原则：评标委员会将按照统一的评标原则和评标方法，用同一标准进行评标。</w:t>
      </w:r>
    </w:p>
    <w:p>
      <w:pPr>
        <w:pStyle w:val="32"/>
        <w:spacing w:line="360" w:lineRule="auto"/>
        <w:ind w:firstLine="0" w:firstLineChars="0"/>
        <w:rPr>
          <w:rFonts w:ascii="宋体" w:hAnsi="宋体" w:eastAsia="宋体" w:cs="宋体"/>
        </w:rPr>
      </w:pPr>
      <w:r>
        <w:rPr>
          <w:rFonts w:hint="eastAsia" w:ascii="宋体" w:hAnsi="宋体" w:eastAsia="宋体" w:cs="宋体"/>
        </w:rPr>
        <w:t>3.独立性原则：评标工作在评标委员会内部独立进行，不受外界任何因素的干扰和影响。评委对出具的评标意见承担个人责任。</w:t>
      </w:r>
    </w:p>
    <w:p>
      <w:pPr>
        <w:pStyle w:val="32"/>
        <w:spacing w:line="360" w:lineRule="auto"/>
        <w:ind w:firstLine="0" w:firstLineChars="0"/>
        <w:rPr>
          <w:rFonts w:ascii="宋体" w:hAnsi="宋体" w:eastAsia="宋体" w:cs="宋体"/>
        </w:rPr>
      </w:pPr>
      <w:r>
        <w:rPr>
          <w:rFonts w:hint="eastAsia" w:ascii="宋体" w:hAnsi="宋体" w:eastAsia="宋体" w:cs="宋体"/>
        </w:rPr>
        <w:t>4.保密性原则：招标代理机构应当采取必要的措施，保证评标在严格保密的情况下进行。</w:t>
      </w:r>
    </w:p>
    <w:p>
      <w:pPr>
        <w:pStyle w:val="32"/>
        <w:spacing w:line="360" w:lineRule="auto"/>
        <w:ind w:firstLine="0" w:firstLineChars="0"/>
        <w:rPr>
          <w:rFonts w:ascii="宋体" w:hAnsi="宋体" w:eastAsia="宋体" w:cs="宋体"/>
        </w:rPr>
      </w:pPr>
      <w:r>
        <w:rPr>
          <w:rFonts w:hint="eastAsia" w:ascii="宋体" w:hAnsi="宋体" w:eastAsia="宋体" w:cs="宋体"/>
        </w:rPr>
        <w:t>5.综合性原则：评标委员会将综合分析、评审投标人的各项指标，而不以单项指标的优劣评定出中标候选人或中标投标人。</w:t>
      </w:r>
      <w:bookmarkStart w:id="105" w:name="_Toc426379923"/>
    </w:p>
    <w:p>
      <w:pPr>
        <w:pStyle w:val="32"/>
        <w:spacing w:line="360" w:lineRule="auto"/>
        <w:ind w:firstLine="0" w:firstLineChars="0"/>
        <w:rPr>
          <w:rFonts w:ascii="宋体" w:hAnsi="宋体" w:eastAsia="宋体" w:cs="宋体"/>
        </w:rPr>
      </w:pPr>
      <w:r>
        <w:rPr>
          <w:rFonts w:hint="eastAsia" w:ascii="宋体" w:hAnsi="宋体" w:eastAsia="宋体" w:cs="宋体"/>
        </w:rPr>
        <w:t>（二）</w:t>
      </w:r>
      <w:r>
        <w:rPr>
          <w:rFonts w:hint="eastAsia" w:ascii="宋体" w:hAnsi="宋体" w:eastAsia="宋体" w:cs="宋体"/>
          <w:b/>
          <w:bCs/>
        </w:rPr>
        <w:t>评标办法</w:t>
      </w:r>
      <w:bookmarkEnd w:id="105"/>
    </w:p>
    <w:p>
      <w:pPr>
        <w:pStyle w:val="32"/>
        <w:spacing w:line="360" w:lineRule="auto"/>
        <w:ind w:firstLine="0" w:firstLineChars="0"/>
        <w:rPr>
          <w:rFonts w:ascii="宋体" w:hAnsi="宋体" w:eastAsia="宋体" w:cs="宋体"/>
        </w:rPr>
      </w:pPr>
      <w:r>
        <w:rPr>
          <w:rFonts w:hint="eastAsia" w:ascii="宋体" w:hAnsi="宋体" w:eastAsia="宋体" w:cs="宋体"/>
        </w:rPr>
        <w:t xml:space="preserve">   本次评标采用综合评分法，评标委员会成员根据招标文件中确定的评分办法综合评定各投标人提交的投标文件，评标委员会成员打分取算术平均值计算综合总得分，按照得分由高到低排序，择优选取壹名中标投标人。</w:t>
      </w:r>
    </w:p>
    <w:p>
      <w:pPr>
        <w:pStyle w:val="32"/>
        <w:spacing w:line="360" w:lineRule="auto"/>
        <w:ind w:firstLine="0" w:firstLineChars="0"/>
        <w:rPr>
          <w:rFonts w:ascii="宋体" w:hAnsi="宋体" w:eastAsia="宋体" w:cs="宋体"/>
        </w:rPr>
      </w:pPr>
      <w:r>
        <w:rPr>
          <w:rFonts w:hint="eastAsia" w:ascii="宋体" w:hAnsi="宋体" w:eastAsia="宋体" w:cs="宋体"/>
          <w:b/>
          <w:bCs/>
        </w:rPr>
        <w:t>1.初步评审</w:t>
      </w:r>
    </w:p>
    <w:p>
      <w:pPr>
        <w:pStyle w:val="32"/>
        <w:spacing w:line="360" w:lineRule="auto"/>
        <w:ind w:firstLine="0" w:firstLineChars="0"/>
        <w:rPr>
          <w:rFonts w:ascii="宋体" w:hAnsi="宋体" w:eastAsia="宋体" w:cs="宋体"/>
        </w:rPr>
      </w:pPr>
      <w:r>
        <w:rPr>
          <w:rFonts w:hint="eastAsia" w:ascii="宋体" w:hAnsi="宋体" w:eastAsia="宋体" w:cs="宋体"/>
        </w:rPr>
        <w:t>（1）评标委员会将确定每一投标人是否对招标文件的要求做出了实质性的响应，而没有重大偏离。实质性响应的投标是指投标符合招标文件的所有条款、条件和规定且没有重大偏离或保留。</w:t>
      </w:r>
    </w:p>
    <w:p>
      <w:pPr>
        <w:pStyle w:val="32"/>
        <w:spacing w:line="360" w:lineRule="auto"/>
        <w:ind w:firstLine="0" w:firstLineChars="0"/>
        <w:rPr>
          <w:rFonts w:ascii="宋体" w:hAnsi="宋体" w:eastAsia="宋体" w:cs="宋体"/>
        </w:rPr>
      </w:pPr>
      <w:r>
        <w:rPr>
          <w:rFonts w:hint="eastAsia" w:ascii="宋体" w:hAnsi="宋体" w:eastAsia="宋体" w:cs="宋体"/>
        </w:rPr>
        <w:t>（2）评标委员会允许投标人修改投标文件中不构成重大偏离的、微小的、非正规、不一致或不规则的地方。但是修改的内容不能改变投标文件的实质性内容，投标人修改的内容以书面文件为准。</w:t>
      </w:r>
    </w:p>
    <w:p>
      <w:pPr>
        <w:pStyle w:val="32"/>
        <w:spacing w:line="360" w:lineRule="auto"/>
        <w:ind w:firstLine="0" w:firstLineChars="0"/>
        <w:rPr>
          <w:rFonts w:ascii="宋体" w:hAnsi="宋体" w:eastAsia="宋体" w:cs="宋体"/>
        </w:rPr>
      </w:pPr>
      <w:r>
        <w:rPr>
          <w:rFonts w:hint="eastAsia" w:ascii="宋体" w:hAnsi="宋体" w:eastAsia="宋体" w:cs="宋体"/>
        </w:rPr>
        <w:t>（3）评标委员会将拒绝被确定为非实质性响应的投标文件，投标人不能通过修正或撤销投标文件中的不符之处而使其投标成为实质性响应的投标。</w:t>
      </w:r>
    </w:p>
    <w:p>
      <w:pPr>
        <w:pStyle w:val="32"/>
        <w:spacing w:line="360" w:lineRule="auto"/>
        <w:ind w:firstLine="0" w:firstLineChars="0"/>
        <w:rPr>
          <w:rFonts w:ascii="宋体" w:hAnsi="宋体" w:eastAsia="宋体" w:cs="宋体"/>
        </w:rPr>
      </w:pPr>
      <w:r>
        <w:rPr>
          <w:rFonts w:hint="eastAsia" w:ascii="宋体" w:hAnsi="宋体" w:eastAsia="宋体" w:cs="宋体"/>
        </w:rPr>
        <w:t>（4）评标委员会对各投标人的投标报价进行评审。评标委员会发现投标人的报价均超过采购预算的，评标委员会有权否决所有投标；评标委员会发现投标人的报价明显低于其他投标报价，使其投标报价可能低于其个别成本的，应当要求该投标人作出书面说明并提供相关证明材料，投标人不能合理说明或者不能提供相关证明材料，由评标委员会认定该投标人以低于成本报价竞标，其投标作为废标处理。</w:t>
      </w:r>
      <w:bookmarkStart w:id="106" w:name="gpc_pack_1_EvalFactorAccordEnd"/>
      <w:bookmarkEnd w:id="106"/>
      <w:bookmarkStart w:id="107" w:name="gpc_project_EvalFactorAccordEnd"/>
      <w:bookmarkEnd w:id="107"/>
      <w:bookmarkStart w:id="108" w:name="gpcItem_packCopy_2"/>
    </w:p>
    <w:bookmarkEnd w:id="108"/>
    <w:p>
      <w:pPr>
        <w:pStyle w:val="32"/>
        <w:spacing w:line="360" w:lineRule="auto"/>
        <w:ind w:firstLine="0" w:firstLineChars="0"/>
        <w:rPr>
          <w:rFonts w:ascii="宋体" w:hAnsi="宋体" w:eastAsia="宋体" w:cs="宋体"/>
        </w:rPr>
      </w:pPr>
      <w:r>
        <w:rPr>
          <w:rFonts w:hint="eastAsia" w:ascii="宋体" w:hAnsi="宋体" w:eastAsia="宋体" w:cs="宋体"/>
        </w:rPr>
        <w:t>（5）评标委员会通过上述评审，确定入围投标人名单，只有成为入围投标人，才能进入综合评分阶段。</w:t>
      </w:r>
      <w:bookmarkStart w:id="109" w:name="gpc_pack_1_EvalFactorScoreEnd"/>
      <w:bookmarkEnd w:id="109"/>
      <w:bookmarkStart w:id="110" w:name="gpc_project_EvalFactorScoreEnd"/>
      <w:bookmarkEnd w:id="110"/>
      <w:bookmarkStart w:id="111" w:name="gpcItem_packCopy_3"/>
    </w:p>
    <w:bookmarkEnd w:id="111"/>
    <w:p>
      <w:pPr>
        <w:pStyle w:val="32"/>
        <w:spacing w:line="360" w:lineRule="auto"/>
        <w:ind w:firstLine="0" w:firstLineChars="0"/>
        <w:rPr>
          <w:rFonts w:ascii="宋体" w:hAnsi="宋体" w:eastAsia="宋体" w:cs="宋体"/>
          <w:b/>
          <w:bCs/>
        </w:rPr>
      </w:pPr>
      <w:r>
        <w:rPr>
          <w:rFonts w:hint="eastAsia" w:ascii="宋体" w:hAnsi="宋体" w:eastAsia="宋体" w:cs="宋体"/>
          <w:b/>
          <w:bCs/>
        </w:rPr>
        <w:t>2.综合评分</w:t>
      </w:r>
    </w:p>
    <w:p>
      <w:pPr>
        <w:pStyle w:val="32"/>
        <w:spacing w:line="360" w:lineRule="auto"/>
        <w:ind w:firstLine="0" w:firstLineChars="0"/>
        <w:rPr>
          <w:rFonts w:ascii="宋体" w:hAnsi="宋体" w:eastAsia="宋体" w:cs="宋体"/>
        </w:rPr>
      </w:pPr>
      <w:r>
        <w:rPr>
          <w:rFonts w:hint="eastAsia" w:ascii="宋体" w:hAnsi="宋体" w:eastAsia="宋体" w:cs="宋体"/>
        </w:rPr>
        <w:t>（1）为有助于对投标文件进行审查、评估和比较，评标委员会有权向投标人询问。投标人有义务以书面形式对其投标文件中含义不明确的内容进行澄清和说明，但澄清和说明的内容不得超出投标文件的范围或改变投标文件的实质性内容。投标人澄清和说明的内容构成投标文件的组成部分。</w:t>
      </w:r>
    </w:p>
    <w:p>
      <w:pPr>
        <w:pStyle w:val="32"/>
        <w:spacing w:line="360" w:lineRule="auto"/>
        <w:ind w:firstLine="0" w:firstLineChars="0"/>
        <w:rPr>
          <w:rFonts w:ascii="宋体" w:hAnsi="宋体" w:eastAsia="宋体" w:cs="宋体"/>
        </w:rPr>
      </w:pPr>
      <w:r>
        <w:rPr>
          <w:rFonts w:hint="eastAsia" w:ascii="宋体" w:hAnsi="宋体" w:eastAsia="宋体" w:cs="宋体"/>
        </w:rPr>
        <w:t>（2）评标委员会根据评分办法（附后）对入围投标人进行综合评分，按照评标得分由评标总得分最高的投标人做为中标投标人。</w:t>
      </w:r>
    </w:p>
    <w:p>
      <w:pPr>
        <w:pStyle w:val="35"/>
        <w:spacing w:line="360" w:lineRule="auto"/>
        <w:outlineLvl w:val="1"/>
        <w:rPr>
          <w:rFonts w:ascii="宋体" w:hAnsi="宋体" w:eastAsia="宋体" w:cs="宋体"/>
          <w:sz w:val="28"/>
          <w:szCs w:val="28"/>
        </w:rPr>
      </w:pPr>
      <w:bookmarkStart w:id="112" w:name="_Toc426379374"/>
      <w:bookmarkStart w:id="113" w:name="_Toc426379924"/>
      <w:r>
        <w:rPr>
          <w:rFonts w:hint="eastAsia" w:ascii="宋体" w:hAnsi="宋体" w:eastAsia="宋体" w:cs="宋体"/>
          <w:b/>
          <w:bCs/>
          <w:sz w:val="28"/>
          <w:szCs w:val="28"/>
        </w:rPr>
        <w:t>四、评标纪律</w:t>
      </w:r>
      <w:bookmarkEnd w:id="112"/>
      <w:bookmarkEnd w:id="113"/>
    </w:p>
    <w:p>
      <w:pPr>
        <w:pStyle w:val="32"/>
        <w:spacing w:line="360" w:lineRule="auto"/>
        <w:ind w:firstLine="0" w:firstLineChars="0"/>
        <w:rPr>
          <w:rFonts w:ascii="宋体" w:hAnsi="宋体" w:eastAsia="宋体" w:cs="宋体"/>
        </w:rPr>
      </w:pPr>
      <w:r>
        <w:rPr>
          <w:rFonts w:hint="eastAsia" w:ascii="宋体" w:hAnsi="宋体" w:eastAsia="宋体" w:cs="宋体"/>
        </w:rPr>
        <w:t>1.评标是招标工作的重要环节，评标工作在评标委员会内独立进行。评标委员会将按照评标原则的要求，公正、平等地对待所有投标人。</w:t>
      </w:r>
    </w:p>
    <w:p>
      <w:pPr>
        <w:pStyle w:val="32"/>
        <w:spacing w:line="360" w:lineRule="auto"/>
        <w:ind w:firstLine="0" w:firstLineChars="0"/>
        <w:rPr>
          <w:rFonts w:ascii="宋体" w:hAnsi="宋体" w:eastAsia="宋体" w:cs="宋体"/>
        </w:rPr>
      </w:pPr>
      <w:r>
        <w:rPr>
          <w:rFonts w:hint="eastAsia" w:ascii="宋体" w:hAnsi="宋体" w:eastAsia="宋体" w:cs="宋体"/>
        </w:rPr>
        <w:t>2.所有评标委员会成员应忠于职守、廉洁自律、秉公办事、不徇私情。</w:t>
      </w:r>
    </w:p>
    <w:p>
      <w:pPr>
        <w:pStyle w:val="32"/>
        <w:spacing w:line="360" w:lineRule="auto"/>
        <w:ind w:firstLine="0" w:firstLineChars="0"/>
        <w:rPr>
          <w:rFonts w:ascii="宋体" w:hAnsi="宋体" w:eastAsia="宋体" w:cs="宋体"/>
        </w:rPr>
      </w:pPr>
      <w:r>
        <w:rPr>
          <w:rFonts w:hint="eastAsia" w:ascii="宋体" w:hAnsi="宋体" w:eastAsia="宋体" w:cs="宋体"/>
        </w:rPr>
        <w:t>3.投标文件的审查、澄清、评价和比较以及授予合同的过程中，投标人对招标人、招标代理机构以及评标委员会其他成员施加影响的任何行为，都将导致被取消投标中标资格。</w:t>
      </w:r>
    </w:p>
    <w:p>
      <w:pPr>
        <w:pStyle w:val="32"/>
        <w:numPr>
          <w:ilvl w:val="0"/>
          <w:numId w:val="14"/>
        </w:numPr>
        <w:spacing w:line="360" w:lineRule="auto"/>
        <w:ind w:firstLine="0" w:firstLineChars="0"/>
        <w:rPr>
          <w:rFonts w:ascii="宋体" w:hAnsi="宋体" w:eastAsia="宋体" w:cs="宋体"/>
        </w:rPr>
      </w:pPr>
      <w:r>
        <w:rPr>
          <w:rFonts w:hint="eastAsia" w:ascii="宋体" w:hAnsi="宋体" w:eastAsia="宋体" w:cs="宋体"/>
        </w:rPr>
        <w:t>为保证评标的公正性，在评标过程中，评标委员会成员不得与任何投标人或与评标结果有利害关系的人员进行私下接触。在评标工作结束后，凡与评标情况有接触的任何人，不得将评标情况对外扩散。</w:t>
      </w:r>
    </w:p>
    <w:p>
      <w:pPr>
        <w:pStyle w:val="32"/>
        <w:numPr>
          <w:ilvl w:val="0"/>
          <w:numId w:val="14"/>
        </w:numPr>
        <w:spacing w:line="360" w:lineRule="auto"/>
        <w:ind w:firstLine="0" w:firstLineChars="0"/>
        <w:rPr>
          <w:rFonts w:ascii="宋体" w:hAnsi="宋体" w:eastAsia="宋体" w:cs="宋体"/>
        </w:rPr>
      </w:pPr>
      <w:r>
        <w:rPr>
          <w:rFonts w:hint="eastAsia" w:ascii="宋体" w:hAnsi="宋体" w:eastAsia="宋体" w:cs="宋体"/>
        </w:rPr>
        <w:t>评标过程中，当发表结论性意见时，先听取专家评委意见，招标人代表随后发表意见。</w:t>
      </w:r>
    </w:p>
    <w:p>
      <w:pPr>
        <w:pStyle w:val="32"/>
        <w:numPr>
          <w:ilvl w:val="0"/>
          <w:numId w:val="14"/>
        </w:numPr>
        <w:spacing w:line="360" w:lineRule="auto"/>
        <w:ind w:firstLine="0" w:firstLineChars="0"/>
        <w:rPr>
          <w:rFonts w:ascii="宋体" w:hAnsi="宋体" w:eastAsia="宋体" w:cs="宋体"/>
        </w:rPr>
      </w:pPr>
      <w:r>
        <w:rPr>
          <w:rFonts w:hint="eastAsia" w:ascii="宋体" w:hAnsi="宋体" w:eastAsia="宋体" w:cs="宋体"/>
        </w:rPr>
        <w:t>评标委员会成员应当客观、公正地履行职责，遵守职业道德，对所提出的评标意见承担个人责任。</w:t>
      </w:r>
    </w:p>
    <w:p>
      <w:pPr>
        <w:pStyle w:val="32"/>
        <w:numPr>
          <w:ilvl w:val="0"/>
          <w:numId w:val="14"/>
        </w:numPr>
        <w:spacing w:line="360" w:lineRule="auto"/>
        <w:ind w:firstLine="0" w:firstLineChars="0"/>
        <w:rPr>
          <w:rFonts w:ascii="宋体" w:hAnsi="宋体" w:eastAsia="宋体" w:cs="宋体"/>
          <w:b/>
          <w:bCs/>
          <w:sz w:val="28"/>
          <w:szCs w:val="28"/>
        </w:rPr>
      </w:pPr>
      <w:r>
        <w:rPr>
          <w:rFonts w:hint="eastAsia" w:ascii="宋体" w:hAnsi="宋体" w:eastAsia="宋体" w:cs="宋体"/>
        </w:rPr>
        <w:t>在评标期间，投标人不得向评标委员会成员询问评标情况，不得进行旨在影响评标结果的任何活动。投标人有企图影响评标结果的任何活动，可能导致评标失败。如有违法行为，将依法追究其法律责任。</w:t>
      </w:r>
      <w:bookmarkStart w:id="114" w:name="_Toc426379925"/>
      <w:bookmarkStart w:id="115" w:name="_Toc426379375"/>
    </w:p>
    <w:p>
      <w:pPr>
        <w:pStyle w:val="35"/>
        <w:spacing w:line="360" w:lineRule="auto"/>
        <w:outlineLvl w:val="1"/>
        <w:rPr>
          <w:rFonts w:ascii="宋体" w:hAnsi="宋体" w:eastAsia="宋体" w:cs="宋体"/>
          <w:b/>
          <w:bCs/>
          <w:sz w:val="28"/>
          <w:szCs w:val="28"/>
        </w:rPr>
      </w:pPr>
      <w:r>
        <w:rPr>
          <w:rFonts w:hint="eastAsia" w:ascii="宋体" w:hAnsi="宋体" w:eastAsia="宋体" w:cs="宋体"/>
          <w:b/>
          <w:bCs/>
          <w:sz w:val="28"/>
          <w:szCs w:val="28"/>
        </w:rPr>
        <w:t>五、定标</w:t>
      </w:r>
      <w:bookmarkEnd w:id="114"/>
      <w:bookmarkEnd w:id="115"/>
    </w:p>
    <w:p>
      <w:pPr>
        <w:pStyle w:val="32"/>
        <w:spacing w:line="360" w:lineRule="auto"/>
        <w:ind w:firstLine="0" w:firstLineChars="0"/>
        <w:rPr>
          <w:rFonts w:ascii="宋体" w:hAnsi="宋体" w:eastAsia="宋体" w:cs="宋体"/>
        </w:rPr>
      </w:pPr>
      <w:r>
        <w:rPr>
          <w:rFonts w:hint="eastAsia" w:ascii="宋体" w:hAnsi="宋体" w:eastAsia="宋体" w:cs="宋体"/>
        </w:rPr>
        <w:t xml:space="preserve">  本项目招标人根据评标委员会提交的书面评标报告依法确定中标投标人。</w:t>
      </w:r>
    </w:p>
    <w:p>
      <w:pPr>
        <w:pStyle w:val="35"/>
        <w:spacing w:line="360" w:lineRule="auto"/>
        <w:outlineLvl w:val="1"/>
        <w:rPr>
          <w:rFonts w:ascii="宋体" w:hAnsi="宋体" w:eastAsia="宋体" w:cs="宋体"/>
          <w:sz w:val="28"/>
          <w:szCs w:val="28"/>
        </w:rPr>
      </w:pPr>
      <w:bookmarkStart w:id="116" w:name="_Toc426379926"/>
      <w:bookmarkStart w:id="117" w:name="_Toc426379376"/>
      <w:r>
        <w:rPr>
          <w:rFonts w:hint="eastAsia" w:ascii="宋体" w:hAnsi="宋体" w:eastAsia="宋体" w:cs="宋体"/>
          <w:b/>
          <w:bCs/>
          <w:sz w:val="28"/>
          <w:szCs w:val="28"/>
        </w:rPr>
        <w:t>六、中标通知书</w:t>
      </w:r>
      <w:bookmarkEnd w:id="116"/>
      <w:bookmarkEnd w:id="117"/>
    </w:p>
    <w:p>
      <w:pPr>
        <w:pStyle w:val="32"/>
        <w:spacing w:line="360" w:lineRule="auto"/>
        <w:ind w:firstLine="504"/>
        <w:rPr>
          <w:rFonts w:ascii="宋体" w:hAnsi="宋体" w:eastAsia="宋体" w:cs="宋体"/>
        </w:rPr>
      </w:pPr>
      <w:r>
        <w:rPr>
          <w:rFonts w:hint="eastAsia" w:ascii="宋体" w:hAnsi="宋体" w:eastAsia="宋体" w:cs="宋体"/>
        </w:rPr>
        <w:t>确定中标结果后，在投标有效期内，招标代理机构向中标投标人签发《中标通知书》。对未中标者，招标人不对未中标原因做出解释，同时亦不退还投标文件。</w:t>
      </w:r>
    </w:p>
    <w:p>
      <w:pPr>
        <w:pStyle w:val="35"/>
        <w:spacing w:line="360" w:lineRule="auto"/>
        <w:outlineLvl w:val="1"/>
        <w:rPr>
          <w:rFonts w:ascii="宋体" w:hAnsi="宋体" w:eastAsia="宋体" w:cs="宋体"/>
          <w:sz w:val="28"/>
          <w:szCs w:val="28"/>
        </w:rPr>
      </w:pPr>
      <w:bookmarkStart w:id="118" w:name="_Toc426379927"/>
      <w:bookmarkStart w:id="119" w:name="_Toc426379377"/>
      <w:r>
        <w:rPr>
          <w:rFonts w:hint="eastAsia" w:ascii="宋体" w:hAnsi="宋体" w:eastAsia="宋体" w:cs="宋体"/>
          <w:b/>
          <w:bCs/>
          <w:sz w:val="28"/>
          <w:szCs w:val="28"/>
        </w:rPr>
        <w:t>七、授予合同</w:t>
      </w:r>
      <w:bookmarkEnd w:id="118"/>
      <w:bookmarkEnd w:id="119"/>
    </w:p>
    <w:p>
      <w:pPr>
        <w:pStyle w:val="32"/>
        <w:spacing w:line="360" w:lineRule="auto"/>
        <w:ind w:firstLine="504"/>
        <w:rPr>
          <w:rFonts w:ascii="宋体" w:hAnsi="宋体" w:eastAsia="宋体" w:cs="宋体"/>
          <w:b/>
          <w:bCs/>
        </w:rPr>
      </w:pPr>
      <w:r>
        <w:rPr>
          <w:rFonts w:hint="eastAsia" w:ascii="宋体" w:hAnsi="宋体" w:eastAsia="宋体" w:cs="宋体"/>
        </w:rPr>
        <w:t>《中标通知书》发出后30日内，招标人与中标投标人签订合同。招标文件、中标投标人的投标文件以及评标过程中的有关澄清、承诺文件均为合同的组成部分。</w:t>
      </w:r>
    </w:p>
    <w:p>
      <w:pPr>
        <w:rPr>
          <w:rFonts w:ascii="宋体" w:hAnsi="宋体" w:eastAsia="宋体" w:cs="宋体"/>
          <w:b/>
          <w:bCs/>
          <w:sz w:val="24"/>
        </w:rPr>
      </w:pPr>
    </w:p>
    <w:bookmarkEnd w:id="95"/>
    <w:bookmarkEnd w:id="96"/>
    <w:p>
      <w:pPr>
        <w:rPr>
          <w:rFonts w:ascii="宋体" w:hAnsi="宋体" w:eastAsia="宋体" w:cs="宋体"/>
          <w:b/>
          <w:bCs/>
          <w:sz w:val="44"/>
          <w:szCs w:val="44"/>
        </w:rPr>
      </w:pPr>
    </w:p>
    <w:p>
      <w:pPr>
        <w:rPr>
          <w:rFonts w:ascii="宋体" w:hAnsi="宋体" w:eastAsia="宋体" w:cs="宋体"/>
          <w:b/>
          <w:bCs/>
          <w:sz w:val="44"/>
          <w:szCs w:val="44"/>
        </w:rPr>
      </w:pPr>
    </w:p>
    <w:p>
      <w:pPr>
        <w:rPr>
          <w:rFonts w:ascii="宋体" w:hAnsi="宋体" w:eastAsia="宋体" w:cs="宋体"/>
          <w:b/>
          <w:bCs/>
          <w:sz w:val="44"/>
          <w:szCs w:val="44"/>
        </w:rPr>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pStyle w:val="24"/>
        <w:ind w:left="420" w:firstLine="280"/>
      </w:pPr>
    </w:p>
    <w:p>
      <w:pPr>
        <w:jc w:val="center"/>
        <w:rPr>
          <w:rFonts w:ascii="宋体" w:hAnsi="宋体" w:eastAsia="宋体" w:cs="宋体"/>
          <w:b/>
          <w:bCs/>
          <w:sz w:val="32"/>
          <w:szCs w:val="32"/>
        </w:rPr>
      </w:pPr>
      <w:r>
        <w:rPr>
          <w:rFonts w:hint="eastAsia" w:ascii="宋体" w:hAnsi="宋体" w:eastAsia="宋体" w:cs="宋体"/>
          <w:b/>
          <w:bCs/>
          <w:sz w:val="32"/>
          <w:szCs w:val="32"/>
        </w:rPr>
        <w:t>第五部分  合同条款及格式</w:t>
      </w:r>
    </w:p>
    <w:p>
      <w:pPr>
        <w:snapToGrid w:val="0"/>
        <w:ind w:firstLine="7020" w:firstLineChars="2331"/>
        <w:rPr>
          <w:rFonts w:ascii="仿宋_GB2312" w:eastAsia="仿宋_GB2312"/>
          <w:b/>
          <w:sz w:val="30"/>
          <w:szCs w:val="30"/>
        </w:rPr>
      </w:pPr>
      <w:bookmarkStart w:id="120" w:name="_Toc294124240"/>
      <w:bookmarkStart w:id="121" w:name="_Toc9789"/>
    </w:p>
    <w:p>
      <w:pPr>
        <w:snapToGrid w:val="0"/>
        <w:ind w:firstLine="6552" w:firstLineChars="2331"/>
        <w:rPr>
          <w:rFonts w:ascii="仿宋_GB2312" w:eastAsia="仿宋_GB2312"/>
          <w:b/>
          <w:sz w:val="28"/>
        </w:rPr>
      </w:pPr>
    </w:p>
    <w:p>
      <w:pPr>
        <w:snapToGrid w:val="0"/>
        <w:ind w:firstLine="6552" w:firstLineChars="2331"/>
        <w:rPr>
          <w:rFonts w:ascii="仿宋_GB2312" w:eastAsia="仿宋_GB2312"/>
          <w:b/>
          <w:sz w:val="28"/>
        </w:rPr>
      </w:pPr>
      <w:r>
        <w:rPr>
          <w:rFonts w:hint="eastAsia" w:ascii="仿宋_GB2312" w:eastAsia="仿宋_GB2312"/>
          <w:b/>
          <w:sz w:val="28"/>
        </w:rPr>
        <w:t xml:space="preserve"> 资金编号：</w:t>
      </w:r>
    </w:p>
    <w:p>
      <w:pPr>
        <w:snapToGrid w:val="0"/>
        <w:jc w:val="center"/>
        <w:rPr>
          <w:rFonts w:eastAsia="黑体"/>
          <w:b/>
          <w:sz w:val="36"/>
        </w:rPr>
      </w:pPr>
    </w:p>
    <w:p>
      <w:pPr>
        <w:snapToGrid w:val="0"/>
        <w:jc w:val="center"/>
        <w:rPr>
          <w:rFonts w:eastAsia="黑体"/>
          <w:b/>
          <w:sz w:val="36"/>
        </w:rPr>
      </w:pPr>
    </w:p>
    <w:p>
      <w:pPr>
        <w:snapToGrid w:val="0"/>
        <w:jc w:val="center"/>
        <w:rPr>
          <w:rFonts w:eastAsia="黑体"/>
          <w:b/>
          <w:sz w:val="36"/>
        </w:rPr>
      </w:pPr>
    </w:p>
    <w:p>
      <w:pPr>
        <w:snapToGrid w:val="0"/>
        <w:jc w:val="center"/>
        <w:rPr>
          <w:rFonts w:ascii="宋体" w:hAnsi="宋体" w:eastAsia="宋体" w:cs="宋体"/>
          <w:b/>
          <w:sz w:val="56"/>
          <w:szCs w:val="56"/>
        </w:rPr>
      </w:pPr>
      <w:r>
        <w:rPr>
          <w:rFonts w:hint="eastAsia" w:ascii="宋体" w:hAnsi="宋体" w:eastAsia="宋体" w:cs="宋体"/>
          <w:b/>
          <w:sz w:val="56"/>
          <w:szCs w:val="56"/>
        </w:rPr>
        <w:t>政府采购合同</w:t>
      </w:r>
    </w:p>
    <w:p>
      <w:pPr>
        <w:snapToGrid w:val="0"/>
        <w:jc w:val="center"/>
        <w:rPr>
          <w:rFonts w:eastAsia="黑体"/>
          <w:b/>
          <w:sz w:val="36"/>
        </w:rPr>
      </w:pPr>
    </w:p>
    <w:p>
      <w:pPr>
        <w:snapToGrid w:val="0"/>
        <w:jc w:val="center"/>
        <w:rPr>
          <w:rFonts w:eastAsia="黑体"/>
          <w:b/>
          <w:sz w:val="36"/>
        </w:rPr>
      </w:pPr>
    </w:p>
    <w:p>
      <w:pPr>
        <w:snapToGrid w:val="0"/>
        <w:jc w:val="center"/>
        <w:rPr>
          <w:rFonts w:ascii="宋体" w:hAnsi="宋体" w:eastAsia="宋体" w:cs="宋体"/>
          <w:sz w:val="32"/>
          <w:szCs w:val="32"/>
        </w:rPr>
      </w:pPr>
      <w:r>
        <w:rPr>
          <w:rFonts w:hint="eastAsia" w:ascii="宋体" w:hAnsi="宋体" w:eastAsia="宋体" w:cs="宋体"/>
          <w:sz w:val="32"/>
          <w:szCs w:val="32"/>
        </w:rPr>
        <w:t xml:space="preserve"> </w:t>
      </w:r>
    </w:p>
    <w:p>
      <w:pPr>
        <w:snapToGrid w:val="0"/>
        <w:jc w:val="center"/>
        <w:rPr>
          <w:rFonts w:eastAsia="黑体"/>
          <w:b/>
          <w:sz w:val="36"/>
        </w:rPr>
      </w:pPr>
    </w:p>
    <w:p>
      <w:pPr>
        <w:snapToGrid w:val="0"/>
        <w:jc w:val="center"/>
        <w:rPr>
          <w:rFonts w:eastAsia="黑体"/>
          <w:b/>
          <w:sz w:val="36"/>
        </w:rPr>
      </w:pPr>
    </w:p>
    <w:p>
      <w:pPr>
        <w:snapToGrid w:val="0"/>
        <w:jc w:val="center"/>
        <w:rPr>
          <w:rFonts w:eastAsia="黑体"/>
          <w:b/>
          <w:sz w:val="28"/>
          <w:szCs w:val="28"/>
        </w:rPr>
      </w:pPr>
    </w:p>
    <w:p>
      <w:pPr>
        <w:rPr>
          <w:rFonts w:ascii="宋体" w:hAnsi="宋体" w:eastAsia="宋体" w:cs="宋体"/>
          <w:b/>
          <w:sz w:val="28"/>
          <w:szCs w:val="28"/>
          <w:u w:val="single"/>
        </w:rPr>
      </w:pPr>
      <w:r>
        <w:rPr>
          <w:rFonts w:hint="eastAsia" w:ascii="仿宋_GB2312" w:eastAsia="仿宋_GB2312"/>
          <w:b/>
          <w:sz w:val="28"/>
          <w:szCs w:val="28"/>
        </w:rPr>
        <w:t xml:space="preserve">           </w:t>
      </w:r>
      <w:r>
        <w:rPr>
          <w:rFonts w:hint="eastAsia" w:ascii="宋体" w:hAnsi="宋体" w:eastAsia="宋体" w:cs="宋体"/>
          <w:b/>
          <w:sz w:val="28"/>
          <w:szCs w:val="28"/>
        </w:rPr>
        <w:t>项目名称:</w:t>
      </w:r>
    </w:p>
    <w:p>
      <w:pPr>
        <w:spacing w:beforeLines="100"/>
        <w:rPr>
          <w:rFonts w:ascii="宋体" w:hAnsi="宋体" w:eastAsia="宋体" w:cs="宋体"/>
          <w:b/>
          <w:sz w:val="28"/>
          <w:szCs w:val="28"/>
          <w:u w:val="single"/>
        </w:rPr>
      </w:pPr>
      <w:r>
        <w:rPr>
          <w:rFonts w:hint="eastAsia" w:ascii="宋体" w:hAnsi="宋体" w:eastAsia="宋体" w:cs="宋体"/>
          <w:b/>
          <w:sz w:val="28"/>
          <w:szCs w:val="28"/>
        </w:rPr>
        <w:t xml:space="preserve">           项目编号:</w:t>
      </w:r>
    </w:p>
    <w:p>
      <w:pPr>
        <w:snapToGrid w:val="0"/>
        <w:jc w:val="center"/>
        <w:rPr>
          <w:rFonts w:ascii="宋体" w:hAnsi="宋体" w:eastAsia="宋体" w:cs="宋体"/>
          <w:b/>
          <w:sz w:val="28"/>
          <w:szCs w:val="28"/>
        </w:rPr>
      </w:pPr>
    </w:p>
    <w:p>
      <w:pPr>
        <w:snapToGrid w:val="0"/>
        <w:jc w:val="center"/>
        <w:rPr>
          <w:rFonts w:ascii="宋体" w:hAnsi="宋体" w:eastAsia="宋体" w:cs="宋体"/>
          <w:b/>
          <w:sz w:val="28"/>
          <w:szCs w:val="28"/>
        </w:rPr>
      </w:pPr>
    </w:p>
    <w:p>
      <w:pPr>
        <w:snapToGrid w:val="0"/>
        <w:jc w:val="center"/>
        <w:rPr>
          <w:rFonts w:ascii="宋体" w:hAnsi="宋体" w:eastAsia="宋体" w:cs="宋体"/>
          <w:b/>
          <w:sz w:val="28"/>
          <w:szCs w:val="28"/>
        </w:rPr>
      </w:pPr>
    </w:p>
    <w:p>
      <w:pPr>
        <w:snapToGrid w:val="0"/>
        <w:jc w:val="center"/>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t xml:space="preserve">              甲    方:</w:t>
      </w:r>
      <w:r>
        <w:rPr>
          <w:rFonts w:hint="eastAsia" w:ascii="宋体" w:hAnsi="宋体" w:eastAsia="宋体" w:cs="宋体"/>
          <w:b/>
          <w:sz w:val="28"/>
          <w:szCs w:val="28"/>
          <w:u w:val="single"/>
        </w:rPr>
        <w:t xml:space="preserve">                        </w:t>
      </w:r>
    </w:p>
    <w:p>
      <w:pPr>
        <w:spacing w:beforeLines="100"/>
        <w:ind w:left="914" w:firstLine="1060" w:firstLineChars="377"/>
        <w:rPr>
          <w:rFonts w:ascii="宋体" w:hAnsi="宋体" w:eastAsia="宋体" w:cs="宋体"/>
          <w:b/>
          <w:sz w:val="28"/>
          <w:szCs w:val="28"/>
        </w:rPr>
      </w:pPr>
      <w:r>
        <w:rPr>
          <w:rFonts w:hint="eastAsia" w:ascii="宋体" w:hAnsi="宋体" w:eastAsia="宋体" w:cs="宋体"/>
          <w:b/>
          <w:sz w:val="28"/>
          <w:szCs w:val="28"/>
        </w:rPr>
        <w:t>乙    方:</w:t>
      </w:r>
      <w:r>
        <w:rPr>
          <w:rFonts w:hint="eastAsia" w:ascii="宋体" w:hAnsi="宋体" w:eastAsia="宋体" w:cs="宋体"/>
          <w:b/>
          <w:sz w:val="28"/>
          <w:szCs w:val="28"/>
          <w:u w:val="single"/>
        </w:rPr>
        <w:t xml:space="preserve">                        </w:t>
      </w:r>
    </w:p>
    <w:p>
      <w:pPr>
        <w:spacing w:beforeLines="100"/>
        <w:ind w:left="914" w:firstLine="1060" w:firstLineChars="377"/>
        <w:rPr>
          <w:rFonts w:ascii="宋体" w:hAnsi="宋体" w:eastAsia="宋体" w:cs="宋体"/>
          <w:b/>
          <w:sz w:val="28"/>
          <w:szCs w:val="28"/>
          <w:u w:val="single"/>
        </w:rPr>
      </w:pPr>
      <w:r>
        <w:rPr>
          <w:rFonts w:hint="eastAsia" w:ascii="宋体" w:hAnsi="宋体" w:eastAsia="宋体" w:cs="宋体"/>
          <w:b/>
          <w:sz w:val="28"/>
          <w:szCs w:val="28"/>
        </w:rPr>
        <w:t>代理机构名称：</w:t>
      </w:r>
      <w:r>
        <w:rPr>
          <w:rFonts w:hint="eastAsia" w:ascii="宋体" w:hAnsi="宋体" w:eastAsia="宋体" w:cs="宋体"/>
          <w:b/>
          <w:sz w:val="28"/>
          <w:szCs w:val="28"/>
          <w:u w:val="single"/>
        </w:rPr>
        <w:t xml:space="preserve">山东蓝盾招标代理有限公司 </w:t>
      </w:r>
    </w:p>
    <w:p>
      <w:pPr>
        <w:spacing w:beforeLines="100"/>
        <w:ind w:left="914" w:firstLine="1060" w:firstLineChars="377"/>
        <w:rPr>
          <w:rFonts w:ascii="宋体" w:hAnsi="宋体" w:eastAsia="宋体" w:cs="宋体"/>
          <w:b/>
          <w:sz w:val="28"/>
          <w:szCs w:val="28"/>
          <w:u w:val="single"/>
        </w:rPr>
      </w:pPr>
      <w:r>
        <w:rPr>
          <w:rFonts w:hint="eastAsia" w:ascii="宋体" w:hAnsi="宋体" w:eastAsia="宋体" w:cs="宋体"/>
          <w:b/>
          <w:sz w:val="28"/>
          <w:szCs w:val="28"/>
        </w:rPr>
        <w:t>合同生成日期：</w:t>
      </w:r>
      <w:r>
        <w:rPr>
          <w:rFonts w:hint="eastAsia" w:ascii="宋体" w:hAnsi="宋体" w:eastAsia="宋体" w:cs="宋体"/>
          <w:b/>
          <w:sz w:val="28"/>
          <w:szCs w:val="28"/>
          <w:u w:val="single"/>
        </w:rPr>
        <w:t xml:space="preserve">                   </w:t>
      </w:r>
    </w:p>
    <w:p>
      <w:pPr>
        <w:spacing w:line="360" w:lineRule="auto"/>
        <w:ind w:firstLine="560" w:firstLineChars="200"/>
        <w:jc w:val="left"/>
        <w:rPr>
          <w:rFonts w:ascii="宋体" w:hAnsi="宋体" w:eastAsia="宋体" w:cs="宋体"/>
          <w:sz w:val="24"/>
        </w:rPr>
      </w:pPr>
      <w:r>
        <w:rPr>
          <w:rFonts w:hint="eastAsia" w:ascii="宋体" w:hAnsi="宋体" w:eastAsia="宋体" w:cs="宋体"/>
          <w:sz w:val="28"/>
          <w:szCs w:val="28"/>
          <w:u w:val="single"/>
        </w:rPr>
        <w:br w:type="page"/>
      </w:r>
      <w:r>
        <w:rPr>
          <w:rFonts w:hint="eastAsia" w:ascii="宋体" w:hAnsi="宋体" w:eastAsia="宋体" w:cs="宋体"/>
          <w:sz w:val="24"/>
          <w:u w:val="single"/>
        </w:rPr>
        <w:t xml:space="preserve">                   </w:t>
      </w:r>
      <w:r>
        <w:rPr>
          <w:rFonts w:hint="eastAsia" w:ascii="宋体" w:hAnsi="宋体" w:eastAsia="宋体" w:cs="宋体"/>
          <w:sz w:val="24"/>
        </w:rPr>
        <w:t>（甲方）所需</w:t>
      </w:r>
      <w:r>
        <w:rPr>
          <w:rFonts w:hint="eastAsia" w:ascii="宋体" w:hAnsi="宋体" w:eastAsia="宋体" w:cs="宋体"/>
          <w:sz w:val="24"/>
          <w:u w:val="single"/>
        </w:rPr>
        <w:t>（项目名称）</w:t>
      </w:r>
      <w:r>
        <w:rPr>
          <w:rFonts w:hint="eastAsia" w:ascii="宋体" w:hAnsi="宋体" w:eastAsia="宋体" w:cs="宋体"/>
          <w:sz w:val="24"/>
        </w:rPr>
        <w:t>经</w:t>
      </w:r>
      <w:r>
        <w:rPr>
          <w:rFonts w:hint="eastAsia" w:ascii="宋体" w:hAnsi="宋体" w:eastAsia="宋体" w:cs="宋体"/>
          <w:sz w:val="24"/>
          <w:u w:val="single"/>
        </w:rPr>
        <w:t>（代理机构名称）</w:t>
      </w:r>
      <w:r>
        <w:rPr>
          <w:rFonts w:hint="eastAsia" w:ascii="宋体" w:hAnsi="宋体" w:eastAsia="宋体" w:cs="宋体"/>
          <w:sz w:val="24"/>
        </w:rPr>
        <w:t>以</w:t>
      </w:r>
      <w:r>
        <w:rPr>
          <w:rFonts w:hint="eastAsia" w:ascii="宋体" w:hAnsi="宋体" w:eastAsia="宋体" w:cs="宋体"/>
          <w:sz w:val="24"/>
          <w:u w:val="single"/>
        </w:rPr>
        <w:t xml:space="preserve">                 </w:t>
      </w:r>
      <w:r>
        <w:rPr>
          <w:rFonts w:hint="eastAsia" w:ascii="宋体" w:hAnsi="宋体" w:eastAsia="宋体" w:cs="宋体"/>
          <w:sz w:val="24"/>
        </w:rPr>
        <w:t>招标文件在国内以公开招标方式进行采购。经评标委员会确定</w:t>
      </w:r>
      <w:r>
        <w:rPr>
          <w:rFonts w:hint="eastAsia" w:ascii="宋体" w:hAnsi="宋体" w:eastAsia="宋体" w:cs="宋体"/>
          <w:sz w:val="24"/>
          <w:u w:val="single"/>
        </w:rPr>
        <w:t xml:space="preserve">                     </w:t>
      </w:r>
      <w:r>
        <w:rPr>
          <w:rFonts w:hint="eastAsia" w:ascii="宋体" w:hAnsi="宋体" w:eastAsia="宋体" w:cs="宋体"/>
          <w:sz w:val="24"/>
        </w:rPr>
        <w:t>（乙方）为中标供应商。甲、乙双方根据《中华人民共和国合同法》、《中华人民共和国政府采购法》和其他法律、法规的规定，并按照公正、平等、自愿、诚实信用的原则，同意按照以下条款和条件，签署本合同。</w:t>
      </w:r>
    </w:p>
    <w:p>
      <w:pPr>
        <w:pStyle w:val="4"/>
        <w:rPr>
          <w:rFonts w:ascii="宋体" w:hAnsi="宋体" w:eastAsia="宋体" w:cs="宋体"/>
          <w:sz w:val="24"/>
          <w:szCs w:val="24"/>
        </w:rPr>
      </w:pPr>
      <w:r>
        <w:rPr>
          <w:rFonts w:hint="eastAsia" w:ascii="宋体" w:hAnsi="宋体" w:eastAsia="宋体" w:cs="宋体"/>
          <w:sz w:val="24"/>
          <w:szCs w:val="24"/>
        </w:rPr>
        <w:t>一、本合同由合同文本和下列文件组成</w:t>
      </w:r>
    </w:p>
    <w:p>
      <w:pPr>
        <w:spacing w:line="360" w:lineRule="auto"/>
        <w:ind w:firstLine="480" w:firstLineChars="200"/>
        <w:rPr>
          <w:rFonts w:ascii="宋体" w:hAnsi="宋体" w:eastAsia="宋体" w:cs="宋体"/>
          <w:sz w:val="24"/>
        </w:rPr>
      </w:pPr>
      <w:r>
        <w:rPr>
          <w:rFonts w:hint="eastAsia" w:ascii="宋体" w:hAnsi="宋体" w:eastAsia="宋体" w:cs="宋体"/>
          <w:sz w:val="24"/>
        </w:rPr>
        <w:t>1、招标文件</w:t>
      </w:r>
    </w:p>
    <w:p>
      <w:pPr>
        <w:spacing w:line="360" w:lineRule="auto"/>
        <w:ind w:firstLine="480"/>
        <w:rPr>
          <w:rFonts w:ascii="宋体" w:hAnsi="宋体" w:eastAsia="宋体" w:cs="宋体"/>
          <w:sz w:val="24"/>
        </w:rPr>
      </w:pPr>
      <w:r>
        <w:rPr>
          <w:rFonts w:hint="eastAsia" w:ascii="宋体" w:hAnsi="宋体" w:eastAsia="宋体" w:cs="宋体"/>
          <w:sz w:val="24"/>
        </w:rPr>
        <w:t>2、中标人投标文件</w:t>
      </w:r>
    </w:p>
    <w:p>
      <w:pPr>
        <w:spacing w:line="360" w:lineRule="auto"/>
        <w:ind w:firstLine="480"/>
        <w:rPr>
          <w:rFonts w:ascii="宋体" w:hAnsi="宋体" w:eastAsia="宋体" w:cs="宋体"/>
          <w:sz w:val="24"/>
        </w:rPr>
      </w:pPr>
      <w:r>
        <w:rPr>
          <w:rFonts w:hint="eastAsia" w:ascii="宋体" w:hAnsi="宋体" w:eastAsia="宋体" w:cs="宋体"/>
          <w:sz w:val="24"/>
        </w:rPr>
        <w:t>3、中标人在评审过程中做出的有关澄清、说明或者补正文件</w:t>
      </w:r>
    </w:p>
    <w:p>
      <w:pPr>
        <w:spacing w:line="360" w:lineRule="auto"/>
        <w:ind w:firstLine="480"/>
        <w:rPr>
          <w:rFonts w:ascii="宋体" w:hAnsi="宋体" w:eastAsia="宋体" w:cs="宋体"/>
          <w:sz w:val="24"/>
        </w:rPr>
      </w:pPr>
      <w:r>
        <w:rPr>
          <w:rFonts w:hint="eastAsia" w:ascii="宋体" w:hAnsi="宋体" w:eastAsia="宋体" w:cs="宋体"/>
          <w:sz w:val="24"/>
        </w:rPr>
        <w:t>4、本合同附件</w:t>
      </w:r>
    </w:p>
    <w:p>
      <w:pPr>
        <w:pStyle w:val="4"/>
        <w:rPr>
          <w:rFonts w:ascii="宋体" w:hAnsi="宋体" w:eastAsia="宋体" w:cs="宋体"/>
          <w:sz w:val="24"/>
          <w:szCs w:val="24"/>
        </w:rPr>
      </w:pPr>
      <w:r>
        <w:rPr>
          <w:rFonts w:hint="eastAsia" w:ascii="宋体" w:hAnsi="宋体" w:eastAsia="宋体" w:cs="宋体"/>
          <w:sz w:val="24"/>
          <w:szCs w:val="24"/>
        </w:rPr>
        <w:t>二、项目的名称、内容</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_______________________________________________________                                    </w:t>
      </w:r>
    </w:p>
    <w:p>
      <w:pPr>
        <w:spacing w:line="360" w:lineRule="auto"/>
        <w:rPr>
          <w:rFonts w:ascii="宋体" w:hAnsi="宋体" w:eastAsia="宋体" w:cs="宋体"/>
          <w:sz w:val="24"/>
        </w:rPr>
      </w:pPr>
      <w:r>
        <w:rPr>
          <w:rFonts w:hint="eastAsia" w:ascii="宋体" w:hAnsi="宋体" w:eastAsia="宋体" w:cs="宋体"/>
          <w:sz w:val="24"/>
        </w:rPr>
        <w:t>（可后附详细服务内容）</w:t>
      </w:r>
    </w:p>
    <w:p>
      <w:pPr>
        <w:pStyle w:val="4"/>
        <w:rPr>
          <w:rFonts w:ascii="宋体" w:hAnsi="宋体" w:eastAsia="宋体" w:cs="宋体"/>
          <w:sz w:val="24"/>
          <w:szCs w:val="24"/>
        </w:rPr>
      </w:pPr>
      <w:r>
        <w:rPr>
          <w:rFonts w:hint="eastAsia" w:ascii="宋体" w:hAnsi="宋体" w:eastAsia="宋体" w:cs="宋体"/>
          <w:sz w:val="24"/>
          <w:szCs w:val="24"/>
        </w:rPr>
        <w:t>三、合同金额</w:t>
      </w:r>
    </w:p>
    <w:p>
      <w:pPr>
        <w:spacing w:line="360" w:lineRule="auto"/>
        <w:ind w:firstLine="480" w:firstLineChars="200"/>
        <w:rPr>
          <w:rFonts w:ascii="宋体" w:hAnsi="宋体" w:eastAsia="宋体" w:cs="宋体"/>
          <w:sz w:val="24"/>
        </w:rPr>
      </w:pPr>
      <w:r>
        <w:rPr>
          <w:rFonts w:hint="eastAsia" w:ascii="宋体" w:hAnsi="宋体" w:eastAsia="宋体" w:cs="宋体"/>
          <w:sz w:val="24"/>
        </w:rPr>
        <w:t>合同总金额：</w:t>
      </w:r>
      <w:r>
        <w:rPr>
          <w:rFonts w:hint="eastAsia" w:ascii="宋体" w:hAnsi="宋体" w:eastAsia="宋体" w:cs="宋体"/>
          <w:sz w:val="24"/>
          <w:u w:val="single"/>
        </w:rPr>
        <w:t xml:space="preserve">人民币                                     </w:t>
      </w:r>
      <w:r>
        <w:rPr>
          <w:rFonts w:hint="eastAsia" w:ascii="宋体" w:hAnsi="宋体" w:eastAsia="宋体" w:cs="宋体"/>
          <w:sz w:val="24"/>
        </w:rPr>
        <w:t>（大写）</w:t>
      </w:r>
    </w:p>
    <w:p>
      <w:pPr>
        <w:spacing w:line="360" w:lineRule="auto"/>
        <w:ind w:firstLine="955"/>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人民币                                     </w:t>
      </w:r>
      <w:r>
        <w:rPr>
          <w:rFonts w:hint="eastAsia" w:ascii="宋体" w:hAnsi="宋体" w:eastAsia="宋体" w:cs="宋体"/>
          <w:sz w:val="24"/>
        </w:rPr>
        <w:t>（小写）</w:t>
      </w:r>
    </w:p>
    <w:p>
      <w:pPr>
        <w:pStyle w:val="4"/>
        <w:rPr>
          <w:rFonts w:ascii="宋体" w:hAnsi="宋体" w:eastAsia="宋体" w:cs="宋体"/>
          <w:sz w:val="24"/>
          <w:szCs w:val="24"/>
        </w:rPr>
      </w:pPr>
      <w:r>
        <w:rPr>
          <w:rFonts w:hint="eastAsia" w:ascii="宋体" w:hAnsi="宋体" w:eastAsia="宋体" w:cs="宋体"/>
          <w:sz w:val="24"/>
          <w:szCs w:val="24"/>
        </w:rPr>
        <w:t>四、付款</w:t>
      </w:r>
    </w:p>
    <w:p>
      <w:pPr>
        <w:tabs>
          <w:tab w:val="left" w:pos="764"/>
        </w:tabs>
        <w:spacing w:line="360" w:lineRule="auto"/>
        <w:ind w:firstLine="480" w:firstLineChars="200"/>
        <w:rPr>
          <w:rFonts w:ascii="宋体" w:hAnsi="宋体" w:eastAsia="宋体" w:cs="宋体"/>
          <w:sz w:val="24"/>
        </w:rPr>
      </w:pPr>
      <w:r>
        <w:rPr>
          <w:rFonts w:hint="eastAsia" w:ascii="宋体" w:hAnsi="宋体" w:eastAsia="宋体" w:cs="宋体"/>
          <w:sz w:val="24"/>
        </w:rPr>
        <w:t>1、付款方式：</w:t>
      </w:r>
      <w:r>
        <w:rPr>
          <w:rFonts w:hint="eastAsia" w:ascii="宋体" w:hAnsi="宋体" w:eastAsia="宋体" w:cs="宋体"/>
          <w:sz w:val="24"/>
          <w:u w:val="single"/>
        </w:rPr>
        <w:t xml:space="preserve">       </w:t>
      </w:r>
      <w:r>
        <w:rPr>
          <w:rFonts w:hint="eastAsia" w:ascii="宋体" w:hAnsi="宋体" w:eastAsia="宋体" w:cs="宋体"/>
          <w:sz w:val="24"/>
        </w:rPr>
        <w:t>。</w:t>
      </w:r>
    </w:p>
    <w:p>
      <w:pPr>
        <w:pStyle w:val="4"/>
        <w:rPr>
          <w:rFonts w:ascii="宋体" w:hAnsi="宋体" w:eastAsia="宋体" w:cs="宋体"/>
          <w:sz w:val="24"/>
          <w:szCs w:val="24"/>
        </w:rPr>
      </w:pPr>
      <w:r>
        <w:rPr>
          <w:rFonts w:hint="eastAsia" w:ascii="宋体" w:hAnsi="宋体" w:eastAsia="宋体" w:cs="宋体"/>
          <w:sz w:val="24"/>
          <w:szCs w:val="24"/>
        </w:rPr>
        <w:t>五、时间、地点及验收方式</w:t>
      </w:r>
    </w:p>
    <w:p>
      <w:pPr>
        <w:spacing w:line="360" w:lineRule="auto"/>
        <w:ind w:firstLine="480" w:firstLineChars="200"/>
        <w:rPr>
          <w:rFonts w:ascii="宋体" w:hAnsi="宋体" w:eastAsia="宋体" w:cs="宋体"/>
          <w:sz w:val="24"/>
        </w:rPr>
      </w:pPr>
      <w:r>
        <w:rPr>
          <w:rFonts w:hint="eastAsia" w:ascii="宋体" w:hAnsi="宋体" w:eastAsia="宋体" w:cs="宋体"/>
          <w:sz w:val="24"/>
        </w:rPr>
        <w:t>1、竣工时间：合同生效后于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日以前竣工。</w:t>
      </w:r>
    </w:p>
    <w:p>
      <w:pPr>
        <w:tabs>
          <w:tab w:val="left" w:pos="955"/>
        </w:tabs>
        <w:spacing w:line="360" w:lineRule="auto"/>
        <w:ind w:firstLine="480" w:firstLineChars="200"/>
        <w:rPr>
          <w:rFonts w:ascii="宋体" w:hAnsi="宋体" w:eastAsia="宋体" w:cs="宋体"/>
          <w:sz w:val="24"/>
        </w:rPr>
      </w:pPr>
      <w:r>
        <w:rPr>
          <w:rFonts w:hint="eastAsia" w:ascii="宋体" w:hAnsi="宋体" w:eastAsia="宋体" w:cs="宋体"/>
          <w:sz w:val="24"/>
        </w:rPr>
        <w:t>2、地点：甲方指定地点。</w:t>
      </w:r>
    </w:p>
    <w:p>
      <w:pPr>
        <w:tabs>
          <w:tab w:val="left" w:pos="955"/>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3、验收方式：</w:t>
      </w:r>
      <w:r>
        <w:rPr>
          <w:rFonts w:hint="eastAsia" w:ascii="宋体" w:hAnsi="宋体" w:eastAsia="宋体" w:cs="宋体"/>
          <w:sz w:val="24"/>
          <w:u w:val="single"/>
        </w:rPr>
        <w:t xml:space="preserve">  </w:t>
      </w:r>
      <w:bookmarkStart w:id="122" w:name="gpc_inspectionMethod_1"/>
      <w:r>
        <w:rPr>
          <w:rFonts w:hint="eastAsia" w:ascii="宋体" w:hAnsi="宋体" w:eastAsia="宋体" w:cs="宋体"/>
          <w:sz w:val="24"/>
          <w:u w:val="single"/>
        </w:rPr>
        <w:t xml:space="preserve"> </w:t>
      </w:r>
      <w:bookmarkEnd w:id="122"/>
      <w:r>
        <w:rPr>
          <w:rFonts w:hint="eastAsia" w:ascii="宋体" w:hAnsi="宋体" w:eastAsia="宋体" w:cs="宋体"/>
          <w:sz w:val="24"/>
          <w:u w:val="single"/>
        </w:rPr>
        <w:t xml:space="preserve">      </w:t>
      </w:r>
      <w:r>
        <w:rPr>
          <w:rFonts w:hint="eastAsia" w:ascii="宋体" w:hAnsi="宋体" w:eastAsia="宋体" w:cs="宋体"/>
          <w:sz w:val="24"/>
        </w:rPr>
        <w:t xml:space="preserve">。                     </w:t>
      </w:r>
    </w:p>
    <w:p>
      <w:pPr>
        <w:pStyle w:val="4"/>
        <w:rPr>
          <w:rFonts w:ascii="宋体" w:hAnsi="宋体" w:eastAsia="宋体" w:cs="宋体"/>
          <w:sz w:val="24"/>
          <w:szCs w:val="24"/>
        </w:rPr>
      </w:pPr>
      <w:r>
        <w:rPr>
          <w:rFonts w:hint="eastAsia" w:ascii="宋体" w:hAnsi="宋体" w:eastAsia="宋体" w:cs="宋体"/>
          <w:sz w:val="24"/>
          <w:szCs w:val="24"/>
        </w:rPr>
        <w:t>六、合同生效</w:t>
      </w:r>
    </w:p>
    <w:p>
      <w:pPr>
        <w:tabs>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 xml:space="preserve">本合同为附条件生效合同，除甲乙双方签章，同时加盖山东蓝盾招标代理有限公司合同审核章后，合同生效。 </w:t>
      </w:r>
    </w:p>
    <w:p>
      <w:pPr>
        <w:pStyle w:val="4"/>
        <w:rPr>
          <w:rFonts w:ascii="宋体" w:hAnsi="宋体" w:eastAsia="宋体" w:cs="宋体"/>
          <w:sz w:val="24"/>
          <w:szCs w:val="24"/>
        </w:rPr>
      </w:pPr>
      <w:r>
        <w:rPr>
          <w:rFonts w:hint="eastAsia" w:ascii="宋体" w:hAnsi="宋体" w:eastAsia="宋体" w:cs="宋体"/>
          <w:sz w:val="24"/>
          <w:szCs w:val="24"/>
        </w:rPr>
        <w:t>七、合同保存</w:t>
      </w:r>
    </w:p>
    <w:p>
      <w:pPr>
        <w:spacing w:line="360" w:lineRule="auto"/>
        <w:ind w:firstLine="480" w:firstLineChars="200"/>
        <w:rPr>
          <w:rFonts w:ascii="宋体" w:hAnsi="宋体" w:eastAsia="宋体" w:cs="宋体"/>
          <w:sz w:val="24"/>
        </w:rPr>
      </w:pPr>
      <w:r>
        <w:rPr>
          <w:rFonts w:hint="eastAsia" w:ascii="宋体" w:hAnsi="宋体" w:eastAsia="宋体" w:cs="宋体"/>
          <w:sz w:val="24"/>
        </w:rPr>
        <w:t>本合同一式五份，甲方一份，乙方一份，济南市财政局政府采购管理处一份，山东蓝盾招标代理有限公司二份。</w:t>
      </w:r>
    </w:p>
    <w:p>
      <w:pPr>
        <w:pStyle w:val="4"/>
        <w:rPr>
          <w:rFonts w:ascii="宋体" w:hAnsi="宋体" w:eastAsia="宋体" w:cs="宋体"/>
          <w:sz w:val="24"/>
          <w:szCs w:val="24"/>
        </w:rPr>
      </w:pPr>
      <w:r>
        <w:rPr>
          <w:rFonts w:hint="eastAsia" w:ascii="宋体" w:hAnsi="宋体" w:eastAsia="宋体" w:cs="宋体"/>
          <w:sz w:val="24"/>
          <w:szCs w:val="24"/>
        </w:rPr>
        <w:t>八、违约条款</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（1）合同一方违约，违约方向对方支付违约金，违约金额为成交金额的10%。中标人违约， 直接从质保金中扣除；采购单位违约， 从采购款项中扣除。</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（2）成交供应商给用户造成的实际损失高于违约金的，成交供应商应给用户对高出违约金的部分予以赔偿。</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（3）成交供应商迟延履行合同、不完全履行合同或提供的服务不符合谈判文件的要求，除支付违约金外，仍应实际履行合同或重新提供符合要求的服务。</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（4）其它未尽事宜，以《中华人民共和国合同法》规定为准。</w:t>
      </w:r>
    </w:p>
    <w:p>
      <w:pPr>
        <w:pStyle w:val="4"/>
        <w:rPr>
          <w:rFonts w:ascii="宋体" w:hAnsi="宋体" w:eastAsia="宋体" w:cs="宋体"/>
          <w:sz w:val="24"/>
          <w:szCs w:val="24"/>
        </w:rPr>
      </w:pPr>
      <w:r>
        <w:rPr>
          <w:rFonts w:hint="eastAsia" w:ascii="宋体" w:hAnsi="宋体" w:eastAsia="宋体" w:cs="宋体"/>
          <w:sz w:val="24"/>
          <w:szCs w:val="24"/>
        </w:rPr>
        <w:t>九、合同发生纠纷时，向济南仲裁委员会提起仲裁。</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甲    方（公章）：                     乙    方（公章）：</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法定代表人或授权代理人：（签字）       法定代表人或授权代理人：（签字）</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开户单位：                             开户单位：</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开户银行：                             开户银行：</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 xml:space="preserve">帐    号：                             帐    号： </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地    址：                             地    址：</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邮政编码：                             邮政编码：</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电    话：                             电    话：</w:t>
      </w: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签订时间：                             签订时间：</w:t>
      </w:r>
    </w:p>
    <w:p>
      <w:pPr>
        <w:tabs>
          <w:tab w:val="left" w:pos="955"/>
          <w:tab w:val="left" w:pos="1146"/>
        </w:tabs>
        <w:spacing w:line="360" w:lineRule="auto"/>
        <w:ind w:firstLine="480" w:firstLineChars="200"/>
        <w:rPr>
          <w:rFonts w:ascii="宋体" w:hAnsi="宋体" w:eastAsia="宋体" w:cs="宋体"/>
          <w:sz w:val="24"/>
        </w:rPr>
      </w:pPr>
    </w:p>
    <w:p>
      <w:pPr>
        <w:tabs>
          <w:tab w:val="left" w:pos="955"/>
          <w:tab w:val="left" w:pos="1146"/>
        </w:tabs>
        <w:spacing w:line="360" w:lineRule="auto"/>
        <w:ind w:firstLine="480" w:firstLineChars="200"/>
        <w:rPr>
          <w:rFonts w:ascii="宋体" w:hAnsi="宋体" w:eastAsia="宋体" w:cs="宋体"/>
          <w:sz w:val="24"/>
        </w:rPr>
      </w:pPr>
      <w:r>
        <w:rPr>
          <w:rFonts w:hint="eastAsia" w:ascii="宋体" w:hAnsi="宋体" w:eastAsia="宋体" w:cs="宋体"/>
          <w:sz w:val="24"/>
        </w:rPr>
        <w:t>此处加盖招标代理有限公司合同审核章，并签署日期（同时甲方、乙方、招标代理有限公司加盖骑缝章）</w:t>
      </w:r>
    </w:p>
    <w:p>
      <w:pPr>
        <w:tabs>
          <w:tab w:val="left" w:pos="955"/>
          <w:tab w:val="left" w:pos="1146"/>
        </w:tabs>
        <w:spacing w:line="360" w:lineRule="auto"/>
        <w:ind w:firstLine="480" w:firstLineChars="200"/>
        <w:rPr>
          <w:rFonts w:ascii="宋体" w:hAnsi="宋体" w:eastAsia="宋体" w:cs="宋体"/>
          <w:sz w:val="24"/>
        </w:rPr>
      </w:pPr>
    </w:p>
    <w:p>
      <w:pPr>
        <w:pStyle w:val="2"/>
        <w:spacing w:line="240" w:lineRule="auto"/>
        <w:rPr>
          <w:rFonts w:ascii="宋体" w:hAnsi="宋体" w:eastAsia="宋体" w:cs="宋体"/>
          <w:kern w:val="2"/>
          <w:sz w:val="36"/>
          <w:szCs w:val="36"/>
        </w:rPr>
      </w:pPr>
    </w:p>
    <w:p>
      <w:pPr>
        <w:pStyle w:val="2"/>
        <w:spacing w:line="240" w:lineRule="auto"/>
        <w:rPr>
          <w:rFonts w:ascii="宋体" w:hAnsi="宋体" w:eastAsia="宋体" w:cs="宋体"/>
          <w:kern w:val="2"/>
          <w:sz w:val="36"/>
          <w:szCs w:val="36"/>
        </w:rPr>
      </w:pPr>
    </w:p>
    <w:p>
      <w:pPr>
        <w:rPr>
          <w:rFonts w:ascii="宋体" w:hAnsi="宋体" w:eastAsia="宋体" w:cs="宋体"/>
          <w:sz w:val="36"/>
          <w:szCs w:val="36"/>
        </w:rPr>
      </w:pPr>
    </w:p>
    <w:p>
      <w:pPr>
        <w:pStyle w:val="9"/>
      </w:pPr>
    </w:p>
    <w:p/>
    <w:p>
      <w:pPr>
        <w:pStyle w:val="9"/>
      </w:pPr>
    </w:p>
    <w:p/>
    <w:p>
      <w:pPr>
        <w:pStyle w:val="9"/>
      </w:pPr>
    </w:p>
    <w:p/>
    <w:p>
      <w:pPr>
        <w:pStyle w:val="9"/>
      </w:pPr>
    </w:p>
    <w:p/>
    <w:p>
      <w:pPr>
        <w:pStyle w:val="9"/>
      </w:pPr>
    </w:p>
    <w:p/>
    <w:p>
      <w:pPr>
        <w:pStyle w:val="9"/>
      </w:pPr>
    </w:p>
    <w:p/>
    <w:p>
      <w:pPr>
        <w:pStyle w:val="9"/>
      </w:pPr>
    </w:p>
    <w:p/>
    <w:p>
      <w:pPr>
        <w:pStyle w:val="24"/>
        <w:ind w:left="420" w:firstLine="280"/>
      </w:pPr>
    </w:p>
    <w:p>
      <w:pPr>
        <w:pStyle w:val="24"/>
        <w:ind w:left="420" w:firstLine="280"/>
      </w:pPr>
    </w:p>
    <w:p>
      <w:pPr>
        <w:pStyle w:val="24"/>
        <w:ind w:left="420" w:firstLine="280"/>
      </w:pPr>
    </w:p>
    <w:p>
      <w:pPr>
        <w:pStyle w:val="24"/>
        <w:ind w:left="420" w:firstLine="280"/>
      </w:pPr>
    </w:p>
    <w:p/>
    <w:p>
      <w:pPr>
        <w:pStyle w:val="9"/>
      </w:pPr>
    </w:p>
    <w:p>
      <w:pPr>
        <w:pStyle w:val="2"/>
        <w:spacing w:line="240" w:lineRule="auto"/>
        <w:jc w:val="center"/>
        <w:rPr>
          <w:rFonts w:ascii="宋体" w:hAnsi="宋体" w:eastAsia="宋体" w:cs="宋体"/>
          <w:kern w:val="2"/>
          <w:sz w:val="36"/>
          <w:szCs w:val="36"/>
        </w:rPr>
      </w:pPr>
      <w:r>
        <w:rPr>
          <w:rFonts w:hint="eastAsia" w:ascii="宋体" w:hAnsi="宋体" w:eastAsia="宋体" w:cs="宋体"/>
          <w:kern w:val="2"/>
          <w:sz w:val="36"/>
          <w:szCs w:val="36"/>
        </w:rPr>
        <w:t>第六部分  投标文件格式</w:t>
      </w:r>
    </w:p>
    <w:bookmarkEnd w:id="120"/>
    <w:bookmarkEnd w:id="121"/>
    <w:p>
      <w:pPr>
        <w:pStyle w:val="12"/>
        <w:spacing w:line="360" w:lineRule="auto"/>
        <w:rPr>
          <w:rFonts w:asciiTheme="minorEastAsia" w:hAnsiTheme="minorEastAsia" w:eastAsiaTheme="minorEastAsia" w:cstheme="minorEastAsia"/>
          <w:b/>
          <w:bCs/>
          <w:sz w:val="24"/>
        </w:rPr>
      </w:pPr>
      <w:r>
        <w:rPr>
          <w:rFonts w:hint="eastAsia" w:ascii="宋体" w:hAnsi="宋体" w:eastAsia="宋体" w:cs="宋体"/>
          <w:b/>
          <w:sz w:val="24"/>
          <w:szCs w:val="32"/>
        </w:rPr>
        <w:t xml:space="preserve"> </w:t>
      </w:r>
      <w:r>
        <w:rPr>
          <w:rFonts w:hint="eastAsia" w:asciiTheme="minorEastAsia" w:hAnsiTheme="minorEastAsia" w:eastAsiaTheme="minorEastAsia" w:cstheme="minorEastAsia"/>
          <w:sz w:val="24"/>
        </w:rPr>
        <w:t>附件一：</w:t>
      </w:r>
    </w:p>
    <w:p>
      <w:pPr>
        <w:spacing w:line="360" w:lineRule="auto"/>
        <w:ind w:firstLine="482" w:firstLineChars="200"/>
        <w:jc w:val="center"/>
        <w:rPr>
          <w:rFonts w:asciiTheme="minorEastAsia" w:hAnsiTheme="minorEastAsia" w:eastAsiaTheme="minorEastAsia" w:cstheme="minorEastAsia"/>
          <w:b/>
          <w:bCs/>
          <w:sz w:val="24"/>
        </w:rPr>
      </w:pPr>
      <w:bookmarkStart w:id="123" w:name="_Toc23051"/>
      <w:bookmarkStart w:id="124" w:name="_Toc417042981"/>
      <w:bookmarkStart w:id="125" w:name="_Toc13445"/>
      <w:bookmarkStart w:id="126" w:name="_Toc17009"/>
      <w:bookmarkStart w:id="127" w:name="_Toc183264346"/>
      <w:bookmarkStart w:id="128" w:name="_Toc15853"/>
      <w:bookmarkStart w:id="129" w:name="_Toc9687"/>
      <w:bookmarkStart w:id="130" w:name="_Toc6430"/>
      <w:bookmarkStart w:id="131" w:name="_Toc10451"/>
      <w:bookmarkStart w:id="132" w:name="_Toc9805"/>
      <w:bookmarkStart w:id="133" w:name="_Toc30951"/>
      <w:r>
        <w:rPr>
          <w:rFonts w:hint="eastAsia" w:asciiTheme="minorEastAsia" w:hAnsiTheme="minorEastAsia" w:eastAsiaTheme="minorEastAsia" w:cstheme="minorEastAsia"/>
          <w:b/>
          <w:bCs/>
          <w:sz w:val="24"/>
        </w:rPr>
        <w:t>投  标  函</w:t>
      </w:r>
      <w:bookmarkEnd w:id="123"/>
      <w:bookmarkEnd w:id="124"/>
    </w:p>
    <w:p>
      <w:pPr>
        <w:pStyle w:val="16"/>
        <w:tabs>
          <w:tab w:val="left" w:pos="5580"/>
        </w:tabs>
        <w:spacing w:line="360"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致：招标代理机构名称：</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经研究，我们决定参加项目编号为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的（项目名称）投标活动并提交投标文件。为此，我方郑重声明以下诸点，并负法律责任。</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1、我方提交的投标文件，正本一份，副本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2、如果我们的投标文件被接受，我们将履行招标中规定的每一项要求，并按我们投标文件中的承诺按期、按质、按量提供服务。</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3、我方承诺：未参与本项目采购需求技术规格的设计编制且与在本项目中设计编制技术规格的机构与其附属机构没有任何直接隶属关系或利益关系。</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4、我们理解，最低报价不是中标的唯一条件，你们有选择中标人的权力。</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5、我方愿按《中华人民共和国合同法》履行自己的全部责任。</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6、我们同意按招标规定交纳投标中标服务费、律师见证费，遵守贵机构有关招标的各项规定。</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7、我方若未成为中标人，贵机构有权不做任何解释。</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8、我方的投标文件自开标之日起有效期为   日。</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9、与本投标有关的一切正式往来通讯请寄：</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                            邮政编码：</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                            传    真：</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开户单位：                            开户银行：</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    号：</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投标单位（印章） 法定代表人或授权代理人签字：      </w:t>
      </w:r>
    </w:p>
    <w:p>
      <w:pPr>
        <w:pStyle w:val="16"/>
        <w:tabs>
          <w:tab w:val="left" w:pos="5580"/>
        </w:tabs>
        <w:spacing w:line="360" w:lineRule="auto"/>
        <w:ind w:firstLine="480" w:firstLineChars="200"/>
        <w:jc w:val="right"/>
        <w:rPr>
          <w:rFonts w:asciiTheme="minorEastAsia" w:hAnsiTheme="minorEastAsia" w:eastAsiaTheme="minorEastAsia" w:cstheme="minorEastAsia"/>
          <w:sz w:val="24"/>
          <w:szCs w:val="24"/>
        </w:rPr>
      </w:pPr>
    </w:p>
    <w:p>
      <w:pPr>
        <w:pStyle w:val="16"/>
        <w:tabs>
          <w:tab w:val="left" w:pos="5580"/>
        </w:tabs>
        <w:spacing w:line="360" w:lineRule="auto"/>
        <w:ind w:firstLine="480" w:firstLineChars="20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pStyle w:val="35"/>
        <w:spacing w:line="360" w:lineRule="auto"/>
        <w:jc w:val="both"/>
        <w:rPr>
          <w:rFonts w:asciiTheme="minorEastAsia" w:hAnsiTheme="minorEastAsia" w:eastAsiaTheme="minorEastAsia" w:cstheme="minorEastAsia"/>
          <w:sz w:val="24"/>
        </w:rPr>
      </w:pPr>
    </w:p>
    <w:bookmarkEnd w:id="125"/>
    <w:bookmarkEnd w:id="126"/>
    <w:bookmarkEnd w:id="127"/>
    <w:bookmarkEnd w:id="128"/>
    <w:bookmarkEnd w:id="129"/>
    <w:bookmarkEnd w:id="130"/>
    <w:bookmarkEnd w:id="131"/>
    <w:bookmarkEnd w:id="132"/>
    <w:bookmarkEnd w:id="133"/>
    <w:p>
      <w:pPr>
        <w:pStyle w:val="12"/>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附件二：</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法定代表人身份证明</w:t>
      </w:r>
    </w:p>
    <w:p>
      <w:pPr>
        <w:spacing w:line="360" w:lineRule="auto"/>
        <w:rPr>
          <w:rFonts w:asciiTheme="minorEastAsia" w:hAnsiTheme="minorEastAsia" w:eastAsiaTheme="minorEastAsia" w:cstheme="minorEastAsia"/>
          <w:sz w:val="24"/>
        </w:rPr>
      </w:pPr>
    </w:p>
    <w:p>
      <w:pPr>
        <w:topLinePunct/>
        <w:snapToGrid w:val="0"/>
        <w:spacing w:line="360" w:lineRule="auto"/>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投标人名称：</w:t>
      </w:r>
      <w:r>
        <w:rPr>
          <w:rFonts w:hint="eastAsia" w:asciiTheme="minorEastAsia" w:hAnsiTheme="minorEastAsia" w:eastAsiaTheme="minorEastAsia" w:cstheme="minorEastAsia"/>
          <w:bCs/>
          <w:sz w:val="24"/>
          <w:u w:val="single"/>
        </w:rPr>
        <w:t xml:space="preserve">                         </w:t>
      </w:r>
    </w:p>
    <w:p>
      <w:pPr>
        <w:topLinePunct/>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单位性质：</w:t>
      </w:r>
      <w:r>
        <w:rPr>
          <w:rFonts w:hint="eastAsia" w:asciiTheme="minorEastAsia" w:hAnsiTheme="minorEastAsia" w:eastAsiaTheme="minorEastAsia" w:cstheme="minorEastAsia"/>
          <w:bCs/>
          <w:sz w:val="24"/>
          <w:u w:val="single"/>
        </w:rPr>
        <w:t xml:space="preserve">                           </w:t>
      </w:r>
    </w:p>
    <w:p>
      <w:pPr>
        <w:topLinePunct/>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成立时间：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topLinePunct/>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经营期限：</w:t>
      </w:r>
      <w:r>
        <w:rPr>
          <w:rFonts w:hint="eastAsia" w:asciiTheme="minorEastAsia" w:hAnsiTheme="minorEastAsia" w:eastAsiaTheme="minorEastAsia" w:cstheme="minorEastAsia"/>
          <w:bCs/>
          <w:sz w:val="24"/>
          <w:u w:val="single"/>
        </w:rPr>
        <w:t xml:space="preserve">            </w:t>
      </w:r>
    </w:p>
    <w:p>
      <w:pPr>
        <w:topLinePunct/>
        <w:snapToGrid w:val="0"/>
        <w:spacing w:line="360" w:lineRule="auto"/>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姓名：</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性别：</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年龄：</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职务：</w:t>
      </w:r>
      <w:r>
        <w:rPr>
          <w:rFonts w:hint="eastAsia" w:asciiTheme="minorEastAsia" w:hAnsiTheme="minorEastAsia" w:eastAsiaTheme="minorEastAsia" w:cstheme="minorEastAsia"/>
          <w:bCs/>
          <w:sz w:val="24"/>
          <w:u w:val="single"/>
        </w:rPr>
        <w:t xml:space="preserve">         </w:t>
      </w:r>
    </w:p>
    <w:p>
      <w:pPr>
        <w:topLinePunct/>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系</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（投标人名称）的法定代表人。</w:t>
      </w:r>
    </w:p>
    <w:p>
      <w:pPr>
        <w:topLinePunct/>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特此证明。</w:t>
      </w:r>
    </w:p>
    <w:p>
      <w:pPr>
        <w:topLinePunct/>
        <w:snapToGrid w:val="0"/>
        <w:spacing w:line="360" w:lineRule="auto"/>
        <w:ind w:firstLine="480" w:firstLineChars="200"/>
        <w:rPr>
          <w:rFonts w:asciiTheme="minorEastAsia" w:hAnsiTheme="minorEastAsia" w:eastAsiaTheme="minorEastAsia" w:cstheme="minorEastAsia"/>
          <w:bCs/>
          <w:sz w:val="24"/>
        </w:rPr>
      </w:pPr>
    </w:p>
    <w:p>
      <w:pPr>
        <w:topLinePunct/>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附：法定代表人身份证复印件</w:t>
      </w:r>
      <w:r>
        <w:rPr>
          <w:rFonts w:hint="eastAsia" w:asciiTheme="minorEastAsia" w:hAnsiTheme="minorEastAsia" w:eastAsiaTheme="minorEastAsia" w:cstheme="minorEastAsia"/>
          <w:bCs/>
          <w:sz w:val="24"/>
        </w:rPr>
        <w:t>(需同时提供正面及背面)</w:t>
      </w:r>
    </w:p>
    <w:p>
      <w:p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sz w:val="24"/>
        </w:rPr>
        <w:pict>
          <v:shape id="_x0000_s1026" o:spid="_x0000_s1026" o:spt="176" type="#_x0000_t176" style="position:absolute;left:0pt;margin-left:208.3pt;margin-top:18.8pt;height:153.35pt;width:248.45pt;z-index:251659264;mso-width-relative:page;mso-height-relative:page;" coordsize="21600,21600" o:gfxdata="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GrSstgAAAAKAQAADwAAAAAAAAAB&#10;ACAAAAAiAAAAZHJzL2Rvd25yZXYueG1sUEsBAhQAFAAAAAgAh07iQJmtV45JAgAAYQQAAA4AAAAA&#10;AAAAAQAgAAAAJwEAAGRycy9lMm9Eb2MueG1sUEsFBgAAAAAGAAYAWQEAAOIFAAAAAA==&#10;">
            <v:path/>
            <v:fill focussize="0,0"/>
            <v:stroke joinstyle="miter"/>
            <v:imagedata o:title=""/>
            <o:lock v:ext="edit"/>
            <v:textbox>
              <w:txbxContent>
                <w:p>
                  <w:pPr>
                    <w:jc w:val="center"/>
                    <w:rPr>
                      <w:szCs w:val="21"/>
                    </w:rPr>
                  </w:pPr>
                  <w:r>
                    <w:rPr>
                      <w:rFonts w:hint="eastAsia"/>
                      <w:szCs w:val="21"/>
                    </w:rPr>
                    <w:t>法定代表人身份证背面复印件贴于此处</w:t>
                  </w:r>
                </w:p>
              </w:txbxContent>
            </v:textbox>
          </v:shape>
        </w:pict>
      </w:r>
      <w:r>
        <w:rPr>
          <w:rFonts w:asciiTheme="minorEastAsia" w:hAnsiTheme="minorEastAsia" w:eastAsiaTheme="minorEastAsia" w:cstheme="minorEastAsia"/>
          <w:sz w:val="24"/>
        </w:rPr>
        <w:pict>
          <v:shape id="_x0000_s1028" o:spid="_x0000_s1028" o:spt="176" type="#_x0000_t176" style="position:absolute;left:0pt;margin-left:-51.35pt;margin-top:18.8pt;height:157.1pt;width:250.35pt;z-index:251658240;mso-width-relative:page;mso-height-relative:page;" coordsize="21600,21600" o:gfxdata="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U3QcDZAAAACwEAAA8AAAAAAAAA&#10;AQAgAAAAIgAAAGRycy9kb3ducmV2LnhtbFBLAQIUABQAAAAIAIdO4kCF02QZSQIAAGEEAAAOAAAA&#10;AAAAAAEAIAAAACgBAABkcnMvZTJvRG9jLnhtbFBLBQYAAAAABgAGAFkBAADjBQAAAAA=&#10;">
            <v:path/>
            <v:fill focussize="0,0"/>
            <v:stroke joinstyle="miter"/>
            <v:imagedata o:title=""/>
            <o:lock v:ext="edit"/>
            <v:textbox>
              <w:txbxContent>
                <w:p>
                  <w:pPr>
                    <w:jc w:val="center"/>
                    <w:rPr>
                      <w:szCs w:val="21"/>
                    </w:rPr>
                  </w:pPr>
                  <w:r>
                    <w:rPr>
                      <w:rFonts w:hint="eastAsia"/>
                      <w:szCs w:val="21"/>
                    </w:rPr>
                    <w:t>法定代表人身份证正面复印件贴于此处</w:t>
                  </w:r>
                </w:p>
              </w:txbxContent>
            </v:textbox>
          </v:shape>
        </w:pic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360" w:lineRule="auto"/>
        <w:rPr>
          <w:rFonts w:asciiTheme="minorEastAsia" w:hAnsiTheme="minorEastAsia" w:eastAsiaTheme="minorEastAsia" w:cstheme="minorEastAsia"/>
          <w:sz w:val="24"/>
        </w:rPr>
      </w:pPr>
    </w:p>
    <w:p>
      <w:pPr>
        <w:spacing w:line="360" w:lineRule="auto"/>
        <w:ind w:firstLine="4920" w:firstLineChars="2050"/>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bookmarkStart w:id="134" w:name="_Toc417042982"/>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pStyle w:val="15"/>
        <w:ind w:left="1260"/>
      </w:pPr>
    </w:p>
    <w:p>
      <w:pPr>
        <w:jc w:val="center"/>
        <w:rPr>
          <w:rFonts w:hint="eastAsia" w:asciiTheme="minorEastAsia" w:hAnsiTheme="minorEastAsia" w:eastAsiaTheme="minorEastAsia" w:cstheme="minorEastAsia"/>
          <w:sz w:val="24"/>
          <w:lang w:eastAsia="zh-CN"/>
        </w:rPr>
      </w:pPr>
      <w:bookmarkStart w:id="135" w:name="_Toc2231"/>
      <w:r>
        <w:rPr>
          <w:rFonts w:hint="eastAsia" w:asciiTheme="minorEastAsia" w:hAnsiTheme="minorEastAsia" w:eastAsiaTheme="minorEastAsia" w:cstheme="minorEastAsia"/>
          <w:b/>
          <w:bCs/>
          <w:sz w:val="24"/>
        </w:rPr>
        <w:t>法定代表人授权书</w:t>
      </w:r>
      <w:bookmarkEnd w:id="134"/>
      <w:bookmarkEnd w:id="135"/>
      <w:r>
        <w:rPr>
          <w:rFonts w:hint="eastAsia" w:asciiTheme="minorEastAsia" w:hAnsiTheme="minorEastAsia" w:eastAsiaTheme="minorEastAsia" w:cstheme="minorEastAsia"/>
          <w:sz w:val="24"/>
          <w:lang w:eastAsia="zh-CN"/>
        </w:rPr>
        <w:t>（包号）</w:t>
      </w:r>
    </w:p>
    <w:p>
      <w:pPr>
        <w:spacing w:line="360" w:lineRule="auto"/>
        <w:jc w:val="center"/>
        <w:rPr>
          <w:rFonts w:asciiTheme="minorEastAsia" w:hAnsiTheme="minorEastAsia" w:eastAsiaTheme="minorEastAsia" w:cstheme="minorEastAsia"/>
          <w:b/>
          <w:bCs/>
          <w:sz w:val="24"/>
        </w:rPr>
      </w:pP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本授权书声明：注册于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（国家或地区的名称）的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（公司名称）的在下面签字的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（法定代表人姓名、职务）代表本公司授权在下面签字的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（授权代理人的姓名、职务）为本公司的合法代理人，就贵方组织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的项目（项目编号：     ），以本公司名义处理一切与之有关的事务。</w:t>
      </w:r>
    </w:p>
    <w:p>
      <w:pPr>
        <w:pStyle w:val="16"/>
        <w:tabs>
          <w:tab w:val="left" w:pos="5580"/>
        </w:tabs>
        <w:spacing w:line="360" w:lineRule="auto"/>
        <w:ind w:firstLine="482"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pict>
          <v:shape id="_x0000_s1027" o:spid="_x0000_s1027" o:spt="202" type="#_x0000_t202" style="position:absolute;left:0pt;margin-left:60pt;margin-top:18.2pt;height:167.05pt;width:282.6pt;z-index:251660288;mso-width-relative:page;mso-height-relative:page;" coordsize="21600,21600" o:gfxdata="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Q1/SdgAAAAKAQAADwAAAAAAAAABACAAAAAiAAAAZHJzL2Rvd25yZXYueG1sUEsBAhQA&#10;FAAAAAgAh07iQG/scYXyAQAA6QMAAA4AAAAAAAAAAQAgAAAAJwEAAGRycy9lMm9Eb2MueG1sUEsF&#10;BgAAAAAGAAYAWQEAAIsFAAAAAA==&#10;">
            <v:path/>
            <v:fill focussize="0,0"/>
            <v:stroke joinstyle="miter"/>
            <v:imagedata o:title=""/>
            <o:lock v:ext="edit"/>
            <v:textbox>
              <w:txbxContent>
                <w:p/>
                <w:p/>
                <w:p/>
                <w:p>
                  <w:pPr>
                    <w:ind w:firstLine="1080" w:firstLineChars="4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附代理人身份证复印件（正反面）</w:t>
                  </w:r>
                </w:p>
                <w:p/>
              </w:txbxContent>
            </v:textbox>
          </v:shape>
        </w:pict>
      </w: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p>
    <w:p>
      <w:pPr>
        <w:pStyle w:val="16"/>
        <w:tabs>
          <w:tab w:val="left" w:pos="5580"/>
        </w:tabs>
        <w:spacing w:line="360" w:lineRule="auto"/>
        <w:ind w:firstLine="480" w:firstLineChars="200"/>
        <w:rPr>
          <w:rFonts w:asciiTheme="minorEastAsia" w:hAnsiTheme="minorEastAsia" w:eastAsiaTheme="minorEastAsia" w:cstheme="minorEastAsia"/>
          <w:sz w:val="24"/>
          <w:szCs w:val="24"/>
        </w:rPr>
      </w:pPr>
    </w:p>
    <w:p>
      <w:pPr>
        <w:pStyle w:val="16"/>
        <w:tabs>
          <w:tab w:val="left" w:pos="5580"/>
        </w:tabs>
        <w:spacing w:line="360" w:lineRule="auto"/>
        <w:ind w:firstLine="480"/>
        <w:rPr>
          <w:rFonts w:asciiTheme="minorEastAsia" w:hAnsiTheme="minorEastAsia" w:eastAsiaTheme="minorEastAsia" w:cstheme="minorEastAsia"/>
          <w:sz w:val="24"/>
          <w:szCs w:val="24"/>
        </w:rPr>
      </w:pPr>
    </w:p>
    <w:p>
      <w:pPr>
        <w:pStyle w:val="16"/>
        <w:tabs>
          <w:tab w:val="left" w:pos="5580"/>
        </w:tabs>
        <w:spacing w:line="360" w:lineRule="auto"/>
        <w:ind w:firstLine="480"/>
        <w:rPr>
          <w:rFonts w:asciiTheme="minorEastAsia" w:hAnsiTheme="minorEastAsia" w:eastAsiaTheme="minorEastAsia" w:cstheme="minorEastAsia"/>
          <w:sz w:val="24"/>
          <w:szCs w:val="24"/>
        </w:rPr>
      </w:pPr>
    </w:p>
    <w:p>
      <w:pPr>
        <w:pStyle w:val="16"/>
        <w:tabs>
          <w:tab w:val="left" w:pos="5580"/>
        </w:tabs>
        <w:spacing w:line="360" w:lineRule="auto"/>
        <w:ind w:firstLine="480"/>
        <w:rPr>
          <w:rFonts w:asciiTheme="minorEastAsia" w:hAnsiTheme="minorEastAsia" w:eastAsiaTheme="minorEastAsia" w:cstheme="minorEastAsia"/>
          <w:sz w:val="24"/>
          <w:szCs w:val="24"/>
        </w:rPr>
      </w:pPr>
    </w:p>
    <w:p>
      <w:pPr>
        <w:pStyle w:val="16"/>
        <w:tabs>
          <w:tab w:val="left" w:pos="5580"/>
        </w:tabs>
        <w:spacing w:line="360" w:lineRule="auto"/>
        <w:ind w:firstLine="480"/>
        <w:rPr>
          <w:rFonts w:asciiTheme="minorEastAsia" w:hAnsiTheme="minorEastAsia" w:eastAsiaTheme="minorEastAsia" w:cstheme="minorEastAsia"/>
          <w:sz w:val="24"/>
          <w:szCs w:val="24"/>
        </w:rPr>
      </w:pPr>
    </w:p>
    <w:p>
      <w:pPr>
        <w:pStyle w:val="16"/>
        <w:tabs>
          <w:tab w:val="left" w:pos="5580"/>
        </w:tabs>
        <w:spacing w:line="360" w:lineRule="auto"/>
        <w:ind w:firstLine="480"/>
        <w:rPr>
          <w:rFonts w:asciiTheme="minorEastAsia" w:hAnsiTheme="minorEastAsia" w:eastAsiaTheme="minorEastAsia" w:cstheme="minorEastAsia"/>
          <w:sz w:val="24"/>
          <w:szCs w:val="24"/>
        </w:rPr>
      </w:pPr>
    </w:p>
    <w:p>
      <w:pPr>
        <w:pStyle w:val="16"/>
        <w:tabs>
          <w:tab w:val="left" w:pos="5580"/>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本授权书于__________年_____月______日签字生效，特此声明。</w:t>
      </w:r>
    </w:p>
    <w:p>
      <w:pPr>
        <w:pStyle w:val="16"/>
        <w:tabs>
          <w:tab w:val="left" w:pos="5580"/>
        </w:tabs>
        <w:spacing w:line="360" w:lineRule="auto"/>
        <w:ind w:firstLine="480"/>
        <w:rPr>
          <w:rFonts w:asciiTheme="minorEastAsia" w:hAnsiTheme="minorEastAsia" w:eastAsiaTheme="minorEastAsia" w:cstheme="minorEastAsia"/>
          <w:sz w:val="24"/>
          <w:szCs w:val="24"/>
        </w:rPr>
      </w:pPr>
    </w:p>
    <w:p>
      <w:pPr>
        <w:pStyle w:val="16"/>
        <w:tabs>
          <w:tab w:val="left" w:pos="5580"/>
        </w:tabs>
        <w:spacing w:line="360" w:lineRule="auto"/>
        <w:ind w:firstLine="480"/>
        <w:rPr>
          <w:rFonts w:asciiTheme="minorEastAsia" w:hAnsiTheme="minorEastAsia" w:eastAsiaTheme="minorEastAsia" w:cstheme="minorEastAsia"/>
          <w:sz w:val="24"/>
          <w:szCs w:val="24"/>
        </w:rPr>
      </w:pPr>
    </w:p>
    <w:p>
      <w:pPr>
        <w:pStyle w:val="16"/>
        <w:tabs>
          <w:tab w:val="left" w:pos="5580"/>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投标人全称（公章）：</w:t>
      </w:r>
    </w:p>
    <w:p>
      <w:pPr>
        <w:pStyle w:val="16"/>
        <w:tabs>
          <w:tab w:val="left" w:pos="5580"/>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法定代表人签字________________</w:t>
      </w:r>
    </w:p>
    <w:p>
      <w:pPr>
        <w:pStyle w:val="16"/>
        <w:tabs>
          <w:tab w:val="left" w:pos="5580"/>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被授权人签字__________________</w:t>
      </w:r>
    </w:p>
    <w:p>
      <w:pPr>
        <w:pStyle w:val="12"/>
        <w:spacing w:line="460" w:lineRule="exact"/>
        <w:rPr>
          <w:rFonts w:asciiTheme="minorEastAsia" w:hAnsiTheme="minorEastAsia" w:eastAsiaTheme="minorEastAsia" w:cstheme="minorEastAsia"/>
          <w:sz w:val="24"/>
        </w:rPr>
      </w:pPr>
      <w:bookmarkStart w:id="136" w:name="_Toc1045"/>
    </w:p>
    <w:p>
      <w:pPr>
        <w:pStyle w:val="35"/>
        <w:spacing w:line="360" w:lineRule="auto"/>
        <w:jc w:val="both"/>
        <w:rPr>
          <w:rFonts w:asciiTheme="minorEastAsia" w:hAnsiTheme="minorEastAsia" w:eastAsiaTheme="minorEastAsia" w:cstheme="minorEastAsia"/>
          <w:sz w:val="24"/>
        </w:rPr>
      </w:pPr>
      <w:bookmarkStart w:id="137" w:name="_Toc27943"/>
      <w:bookmarkStart w:id="138" w:name="_Toc7927"/>
      <w:bookmarkStart w:id="139" w:name="_Toc29274"/>
      <w:bookmarkStart w:id="140" w:name="_Toc29541"/>
      <w:bookmarkStart w:id="141" w:name="_Toc1761"/>
      <w:bookmarkStart w:id="142" w:name="_Toc22430"/>
      <w:bookmarkStart w:id="143" w:name="_Toc14899"/>
      <w:bookmarkStart w:id="144" w:name="_Toc16985"/>
    </w:p>
    <w:p>
      <w:pPr>
        <w:pStyle w:val="35"/>
        <w:spacing w:line="360" w:lineRule="auto"/>
        <w:jc w:val="both"/>
        <w:rPr>
          <w:rFonts w:asciiTheme="minorEastAsia" w:hAnsiTheme="minorEastAsia" w:eastAsiaTheme="minorEastAsia" w:cstheme="minorEastAsia"/>
          <w:sz w:val="24"/>
        </w:rPr>
      </w:pPr>
    </w:p>
    <w:p>
      <w:pPr>
        <w:pStyle w:val="35"/>
        <w:spacing w:line="360" w:lineRule="auto"/>
        <w:jc w:val="both"/>
        <w:rPr>
          <w:rFonts w:asciiTheme="minorEastAsia" w:hAnsiTheme="minorEastAsia" w:eastAsiaTheme="minorEastAsia" w:cstheme="minorEastAsia"/>
          <w:sz w:val="24"/>
        </w:rPr>
      </w:pPr>
    </w:p>
    <w:bookmarkEnd w:id="136"/>
    <w:bookmarkEnd w:id="137"/>
    <w:bookmarkEnd w:id="138"/>
    <w:bookmarkEnd w:id="139"/>
    <w:bookmarkEnd w:id="140"/>
    <w:bookmarkEnd w:id="141"/>
    <w:bookmarkEnd w:id="142"/>
    <w:bookmarkEnd w:id="143"/>
    <w:bookmarkEnd w:id="144"/>
    <w:p>
      <w:pPr>
        <w:pStyle w:val="12"/>
        <w:rPr>
          <w:rFonts w:asciiTheme="minorEastAsia" w:hAnsiTheme="minorEastAsia" w:eastAsiaTheme="minorEastAsia" w:cstheme="minorEastAsia"/>
          <w:sz w:val="24"/>
        </w:rPr>
      </w:pPr>
      <w:bookmarkStart w:id="145" w:name="_Toc4564"/>
      <w:bookmarkStart w:id="146" w:name="_Toc7367"/>
      <w:bookmarkStart w:id="147" w:name="_Toc15824"/>
      <w:bookmarkStart w:id="148" w:name="_Toc14049"/>
      <w:bookmarkStart w:id="149" w:name="_Toc24576"/>
      <w:bookmarkStart w:id="150" w:name="_Toc19728"/>
    </w:p>
    <w:p>
      <w:pPr>
        <w:pStyle w:val="13"/>
        <w:rPr>
          <w:rFonts w:asciiTheme="minorEastAsia" w:hAnsiTheme="minorEastAsia" w:eastAsiaTheme="minorEastAsia" w:cstheme="minorEastAsia"/>
          <w:color w:val="auto"/>
        </w:rPr>
      </w:pPr>
    </w:p>
    <w:p>
      <w:pPr>
        <w:pStyle w:val="13"/>
        <w:rPr>
          <w:rFonts w:asciiTheme="minorEastAsia" w:hAnsiTheme="minorEastAsia" w:eastAsiaTheme="minorEastAsia" w:cstheme="minorEastAsia"/>
          <w:color w:val="auto"/>
        </w:rPr>
      </w:pPr>
    </w:p>
    <w:p>
      <w:pPr>
        <w:pStyle w:val="13"/>
        <w:rPr>
          <w:rFonts w:asciiTheme="minorEastAsia" w:hAnsiTheme="minorEastAsia" w:eastAsiaTheme="minorEastAsia" w:cstheme="minorEastAsia"/>
          <w:color w:val="auto"/>
        </w:rPr>
      </w:pPr>
    </w:p>
    <w:p>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附件三：</w:t>
      </w:r>
    </w:p>
    <w:bookmarkEnd w:id="145"/>
    <w:bookmarkEnd w:id="146"/>
    <w:bookmarkEnd w:id="147"/>
    <w:bookmarkEnd w:id="148"/>
    <w:bookmarkEnd w:id="149"/>
    <w:bookmarkEnd w:id="150"/>
    <w:p>
      <w:pPr>
        <w:jc w:val="center"/>
        <w:rPr>
          <w:rFonts w:hint="eastAsia" w:asciiTheme="minorEastAsia" w:hAnsiTheme="minorEastAsia" w:eastAsiaTheme="minorEastAsia" w:cstheme="minorEastAsia"/>
          <w:sz w:val="24"/>
          <w:lang w:eastAsia="zh-CN"/>
        </w:rPr>
      </w:pPr>
      <w:bookmarkStart w:id="151" w:name="_Toc417042983"/>
      <w:bookmarkStart w:id="152" w:name="_Toc20220"/>
      <w:r>
        <w:rPr>
          <w:rFonts w:hint="eastAsia" w:asciiTheme="minorEastAsia" w:hAnsiTheme="minorEastAsia" w:eastAsiaTheme="minorEastAsia" w:cstheme="minorEastAsia"/>
          <w:sz w:val="24"/>
        </w:rPr>
        <w:t>报 价 一 览 表</w:t>
      </w:r>
      <w:bookmarkEnd w:id="151"/>
      <w:bookmarkEnd w:id="152"/>
      <w:r>
        <w:rPr>
          <w:rFonts w:hint="eastAsia" w:asciiTheme="minorEastAsia" w:hAnsiTheme="minorEastAsia" w:eastAsiaTheme="minorEastAsia" w:cstheme="minorEastAsia"/>
          <w:sz w:val="24"/>
          <w:lang w:eastAsia="zh-CN"/>
        </w:rPr>
        <w:t>（包号）</w:t>
      </w:r>
    </w:p>
    <w:p>
      <w:pPr>
        <w:jc w:val="center"/>
        <w:rPr>
          <w:rFonts w:asciiTheme="minorEastAsia" w:hAnsiTheme="minorEastAsia" w:eastAsiaTheme="minorEastAsia" w:cstheme="minorEastAsia"/>
          <w:sz w:val="24"/>
        </w:rPr>
      </w:pPr>
      <w:bookmarkStart w:id="153" w:name="_Toc13572"/>
      <w:r>
        <w:rPr>
          <w:rFonts w:hint="eastAsia" w:asciiTheme="minorEastAsia" w:hAnsiTheme="minorEastAsia" w:eastAsiaTheme="minorEastAsia" w:cstheme="minorEastAsia"/>
          <w:sz w:val="24"/>
        </w:rPr>
        <w:t>（须单独密封，用于公开唱标）</w:t>
      </w:r>
      <w:bookmarkEnd w:id="153"/>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投标人名称（盖章）：</w:t>
      </w:r>
      <w:r>
        <w:rPr>
          <w:rFonts w:hint="eastAsia" w:asciiTheme="minorEastAsia" w:hAnsiTheme="minorEastAsia" w:eastAsiaTheme="minorEastAsia" w:cstheme="minorEastAsia"/>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法定代表人或授权代表签字：</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单位：元</w:t>
      </w:r>
    </w:p>
    <w:tbl>
      <w:tblPr>
        <w:tblStyle w:val="2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2" w:hRule="atLeast"/>
          <w:jc w:val="center"/>
        </w:trPr>
        <w:tc>
          <w:tcPr>
            <w:tcW w:w="1473" w:type="dxa"/>
            <w:vMerge w:val="restart"/>
            <w:vAlign w:val="center"/>
          </w:tcPr>
          <w:p>
            <w:pPr>
              <w:jc w:val="center"/>
              <w:rPr>
                <w:rFonts w:asciiTheme="minorEastAsia" w:hAnsiTheme="minorEastAsia" w:eastAsiaTheme="minorEastAsia" w:cstheme="minorEastAsia"/>
                <w:bCs/>
                <w:sz w:val="24"/>
              </w:rPr>
            </w:pPr>
            <w:r>
              <w:rPr>
                <w:sz w:val="24"/>
              </w:rPr>
              <w:t>报价</w:t>
            </w:r>
          </w:p>
        </w:tc>
        <w:tc>
          <w:tcPr>
            <w:tcW w:w="6807" w:type="dxa"/>
            <w:vAlign w:val="center"/>
          </w:tcPr>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9" w:hRule="atLeast"/>
          <w:jc w:val="center"/>
        </w:trPr>
        <w:tc>
          <w:tcPr>
            <w:tcW w:w="1473" w:type="dxa"/>
            <w:vMerge w:val="continue"/>
            <w:vAlign w:val="center"/>
          </w:tcPr>
          <w:p>
            <w:pPr>
              <w:jc w:val="center"/>
              <w:rPr>
                <w:rFonts w:asciiTheme="minorEastAsia" w:hAnsiTheme="minorEastAsia" w:eastAsiaTheme="minorEastAsia" w:cstheme="minorEastAsia"/>
                <w:bCs/>
                <w:sz w:val="24"/>
              </w:rPr>
            </w:pPr>
          </w:p>
        </w:tc>
        <w:tc>
          <w:tcPr>
            <w:tcW w:w="6807" w:type="dxa"/>
            <w:vAlign w:val="center"/>
          </w:tcPr>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9" w:hRule="atLeast"/>
          <w:jc w:val="center"/>
        </w:trPr>
        <w:tc>
          <w:tcPr>
            <w:tcW w:w="1473"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项目负责人</w:t>
            </w:r>
          </w:p>
        </w:tc>
        <w:tc>
          <w:tcPr>
            <w:tcW w:w="6807" w:type="dxa"/>
            <w:vAlign w:val="center"/>
          </w:tcPr>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姓名：</w:t>
            </w:r>
          </w:p>
          <w:p>
            <w:pPr>
              <w:pStyle w:val="24"/>
              <w:spacing w:line="360" w:lineRule="auto"/>
              <w:ind w:left="0" w:leftChars="0" w:firstLine="0" w:firstLineChars="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Cs/>
                <w:sz w:val="24"/>
                <w:lang w:eastAsia="zh-CN"/>
              </w:rPr>
              <w:t>证书及编号：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jc w:val="center"/>
        </w:trPr>
        <w:tc>
          <w:tcPr>
            <w:tcW w:w="1473" w:type="dxa"/>
            <w:tcBorders>
              <w:bottom w:val="single" w:color="auto" w:sz="4"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对招标文件</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及合同条款</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的认同程度</w:t>
            </w:r>
          </w:p>
        </w:tc>
        <w:tc>
          <w:tcPr>
            <w:tcW w:w="6807" w:type="dxa"/>
            <w:tcBorders>
              <w:bottom w:val="single" w:color="auto" w:sz="4" w:space="0"/>
            </w:tcBorders>
            <w:vAlign w:val="center"/>
          </w:tcPr>
          <w:p>
            <w:pPr>
              <w:spacing w:line="4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1473" w:type="dxa"/>
            <w:tcBorders>
              <w:bottom w:val="single" w:color="auto" w:sz="4" w:space="0"/>
            </w:tcBorders>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授权代表现场签字确认</w:t>
            </w:r>
          </w:p>
        </w:tc>
        <w:tc>
          <w:tcPr>
            <w:tcW w:w="6807" w:type="dxa"/>
            <w:tcBorders>
              <w:bottom w:val="single" w:color="auto" w:sz="4" w:space="0"/>
            </w:tcBorders>
            <w:vAlign w:val="center"/>
          </w:tcPr>
          <w:p>
            <w:pPr>
              <w:spacing w:line="4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jc w:val="center"/>
        </w:trPr>
        <w:tc>
          <w:tcPr>
            <w:tcW w:w="8280" w:type="dxa"/>
            <w:gridSpan w:val="2"/>
            <w:tcBorders>
              <w:bottom w:val="single" w:color="auto" w:sz="4" w:space="0"/>
            </w:tcBorders>
            <w:vAlign w:val="center"/>
          </w:tcPr>
          <w:p>
            <w:pPr>
              <w:spacing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此唱标单内容尽量充实,但不要加附页，一式</w:t>
            </w:r>
            <w:r>
              <w:rPr>
                <w:rFonts w:hint="eastAsia" w:asciiTheme="minorEastAsia" w:hAnsiTheme="minorEastAsia" w:eastAsiaTheme="minorEastAsia" w:cstheme="minorEastAsia"/>
                <w:sz w:val="24"/>
                <w:u w:val="single"/>
              </w:rPr>
              <w:t>三</w:t>
            </w:r>
            <w:r>
              <w:rPr>
                <w:rFonts w:hint="eastAsia" w:asciiTheme="minorEastAsia" w:hAnsiTheme="minorEastAsia" w:eastAsiaTheme="minorEastAsia" w:cstheme="minorEastAsia"/>
                <w:sz w:val="24"/>
              </w:rPr>
              <w:t>份，</w:t>
            </w:r>
            <w:r>
              <w:rPr>
                <w:rFonts w:hint="eastAsia" w:asciiTheme="minorEastAsia" w:hAnsiTheme="minorEastAsia" w:eastAsiaTheme="minorEastAsia" w:cstheme="minorEastAsia"/>
                <w:sz w:val="24"/>
                <w:u w:val="single"/>
              </w:rPr>
              <w:t>三</w:t>
            </w:r>
            <w:r>
              <w:rPr>
                <w:rFonts w:hint="eastAsia" w:asciiTheme="minorEastAsia" w:hAnsiTheme="minorEastAsia" w:eastAsiaTheme="minorEastAsia" w:cstheme="minorEastAsia"/>
                <w:sz w:val="24"/>
              </w:rPr>
              <w:t>份单独密封（与投标文件同时递交）。</w:t>
            </w:r>
          </w:p>
        </w:tc>
      </w:tr>
    </w:tbl>
    <w:p>
      <w:pPr>
        <w:rPr>
          <w:rFonts w:asciiTheme="minorEastAsia" w:hAnsiTheme="minorEastAsia" w:eastAsiaTheme="minorEastAsia" w:cstheme="minorEastAsia"/>
          <w:b/>
          <w:bCs/>
          <w:sz w:val="24"/>
        </w:rPr>
      </w:pPr>
    </w:p>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备注：本开标一览表必须单独密封（一式三份），否则按无效投标处理。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本项目为交钥匙工程。</w:t>
      </w:r>
      <w:r>
        <w:rPr>
          <w:rFonts w:hint="eastAsia" w:asciiTheme="minorEastAsia" w:hAnsiTheme="minorEastAsia" w:eastAsiaTheme="minorEastAsia" w:cstheme="minorEastAsia"/>
          <w:sz w:val="24"/>
        </w:rPr>
        <w:t xml:space="preserve">      </w:t>
      </w:r>
    </w:p>
    <w:p>
      <w:pPr>
        <w:pStyle w:val="8"/>
        <w:ind w:right="283" w:rightChars="13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pPr>
        <w:pStyle w:val="8"/>
        <w:ind w:right="283" w:rightChars="135"/>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日</w:t>
      </w:r>
    </w:p>
    <w:p>
      <w:pPr>
        <w:pStyle w:val="8"/>
        <w:ind w:right="283" w:rightChars="135"/>
        <w:jc w:val="both"/>
        <w:rPr>
          <w:rFonts w:asciiTheme="minorEastAsia" w:hAnsiTheme="minorEastAsia" w:eastAsiaTheme="minorEastAsia" w:cstheme="minorEastAsia"/>
          <w:sz w:val="24"/>
          <w:szCs w:val="24"/>
        </w:rPr>
      </w:pPr>
    </w:p>
    <w:p>
      <w:pPr>
        <w:pStyle w:val="8"/>
        <w:tabs>
          <w:tab w:val="left" w:pos="2041"/>
        </w:tabs>
        <w:ind w:right="283" w:rightChars="135"/>
        <w:jc w:val="both"/>
        <w:rPr>
          <w:rFonts w:asciiTheme="minorEastAsia" w:hAnsiTheme="minorEastAsia" w:eastAsiaTheme="minorEastAsia" w:cstheme="minorEastAsia"/>
          <w:sz w:val="24"/>
          <w:szCs w:val="24"/>
          <w:lang w:eastAsia="zh-CN"/>
        </w:rPr>
      </w:pPr>
    </w:p>
    <w:p>
      <w:pPr>
        <w:pStyle w:val="3"/>
        <w:spacing w:line="360" w:lineRule="auto"/>
        <w:jc w:val="center"/>
        <w:rPr>
          <w:rFonts w:hint="eastAsia" w:ascii="宋体" w:hAnsi="宋体" w:cs="宋体" w:eastAsiaTheme="minorEastAsia"/>
          <w:b w:val="0"/>
          <w:bCs w:val="0"/>
          <w:spacing w:val="6"/>
          <w:kern w:val="0"/>
          <w:szCs w:val="20"/>
          <w:lang w:eastAsia="zh-CN"/>
        </w:rPr>
      </w:pPr>
      <w:r>
        <w:rPr>
          <w:rFonts w:hint="eastAsia" w:asciiTheme="minorEastAsia" w:hAnsiTheme="minorEastAsia" w:eastAsiaTheme="minorEastAsia" w:cstheme="minorEastAsia"/>
          <w:sz w:val="24"/>
          <w:szCs w:val="24"/>
        </w:rPr>
        <w:t>报价明细表</w:t>
      </w:r>
      <w:r>
        <w:rPr>
          <w:rFonts w:hint="eastAsia" w:asciiTheme="minorEastAsia" w:hAnsiTheme="minorEastAsia" w:eastAsiaTheme="minorEastAsia" w:cstheme="minorEastAsia"/>
          <w:sz w:val="24"/>
          <w:szCs w:val="24"/>
          <w:lang w:eastAsia="zh-CN"/>
        </w:rPr>
        <w:t>（包号）</w:t>
      </w:r>
    </w:p>
    <w:p>
      <w:pPr>
        <w:pStyle w:val="14"/>
        <w:spacing w:beforeLines="50" w:line="360" w:lineRule="auto"/>
        <w:ind w:left="42" w:leftChars="20" w:firstLine="48" w:firstLineChars="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项目编号：</w:t>
      </w:r>
    </w:p>
    <w:p>
      <w:pPr>
        <w:pStyle w:val="14"/>
        <w:spacing w:line="360" w:lineRule="auto"/>
        <w:ind w:left="42" w:leftChars="20" w:firstLine="48" w:firstLineChars="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供应商名称：（公章）</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法定代表人或授权代理人签字：</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w:t>
      </w:r>
    </w:p>
    <w:p>
      <w:pPr>
        <w:autoSpaceDE w:val="0"/>
        <w:autoSpaceDN w:val="0"/>
        <w:adjustRightInd w:val="0"/>
        <w:spacing w:line="360" w:lineRule="exact"/>
        <w:jc w:val="cente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单位：人民币元</w:t>
      </w:r>
    </w:p>
    <w:tbl>
      <w:tblPr>
        <w:tblStyle w:val="25"/>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803"/>
        <w:gridCol w:w="1983"/>
        <w:gridCol w:w="1328"/>
        <w:gridCol w:w="1326"/>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328" w:type="dxa"/>
            <w:vMerge w:val="restart"/>
            <w:noWrap/>
            <w:vAlign w:val="center"/>
          </w:tcPr>
          <w:p>
            <w:pPr>
              <w:spacing w:beforeLines="50"/>
              <w:jc w:val="center"/>
              <w:rPr>
                <w:rFonts w:ascii="宋体" w:hAnsi="宋体" w:cs="宋体"/>
                <w:sz w:val="24"/>
              </w:rPr>
            </w:pPr>
          </w:p>
        </w:tc>
        <w:tc>
          <w:tcPr>
            <w:tcW w:w="1803" w:type="dxa"/>
            <w:vMerge w:val="restart"/>
            <w:noWrap/>
            <w:vAlign w:val="center"/>
          </w:tcPr>
          <w:p>
            <w:pPr>
              <w:spacing w:beforeLines="50"/>
              <w:jc w:val="center"/>
              <w:rPr>
                <w:rFonts w:ascii="宋体" w:hAnsi="宋体" w:cs="宋体"/>
                <w:sz w:val="24"/>
              </w:rPr>
            </w:pPr>
          </w:p>
        </w:tc>
        <w:tc>
          <w:tcPr>
            <w:tcW w:w="1983" w:type="dxa"/>
            <w:vMerge w:val="restart"/>
            <w:noWrap/>
            <w:vAlign w:val="center"/>
          </w:tcPr>
          <w:p>
            <w:pPr>
              <w:spacing w:beforeLines="50"/>
              <w:jc w:val="center"/>
              <w:rPr>
                <w:rFonts w:ascii="宋体" w:hAnsi="宋体" w:cs="宋体"/>
                <w:sz w:val="24"/>
              </w:rPr>
            </w:pPr>
          </w:p>
        </w:tc>
        <w:tc>
          <w:tcPr>
            <w:tcW w:w="1328" w:type="dxa"/>
            <w:vMerge w:val="restart"/>
            <w:noWrap/>
            <w:vAlign w:val="center"/>
          </w:tcPr>
          <w:p>
            <w:pPr>
              <w:spacing w:beforeLines="50"/>
              <w:jc w:val="center"/>
              <w:rPr>
                <w:rFonts w:ascii="宋体" w:hAnsi="宋体" w:cs="宋体"/>
                <w:sz w:val="24"/>
              </w:rPr>
            </w:pPr>
          </w:p>
        </w:tc>
        <w:tc>
          <w:tcPr>
            <w:tcW w:w="1326" w:type="dxa"/>
            <w:vMerge w:val="restart"/>
            <w:noWrap/>
            <w:vAlign w:val="center"/>
          </w:tcPr>
          <w:p>
            <w:pPr>
              <w:spacing w:beforeLines="50"/>
              <w:jc w:val="center"/>
              <w:rPr>
                <w:rFonts w:ascii="宋体" w:hAnsi="宋体" w:cs="宋体"/>
                <w:sz w:val="24"/>
              </w:rPr>
            </w:pPr>
          </w:p>
        </w:tc>
        <w:tc>
          <w:tcPr>
            <w:tcW w:w="1572" w:type="dxa"/>
            <w:vMerge w:val="restart"/>
            <w:noWrap/>
            <w:vAlign w:val="center"/>
          </w:tcPr>
          <w:p>
            <w:pPr>
              <w:spacing w:before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328" w:type="dxa"/>
            <w:vMerge w:val="continue"/>
            <w:noWrap/>
            <w:vAlign w:val="center"/>
          </w:tcPr>
          <w:p>
            <w:pPr>
              <w:spacing w:beforeLines="50"/>
              <w:jc w:val="center"/>
              <w:rPr>
                <w:rFonts w:ascii="宋体" w:hAnsi="宋体" w:cs="宋体"/>
                <w:sz w:val="24"/>
              </w:rPr>
            </w:pPr>
          </w:p>
        </w:tc>
        <w:tc>
          <w:tcPr>
            <w:tcW w:w="1803" w:type="dxa"/>
            <w:vMerge w:val="continue"/>
            <w:noWrap/>
            <w:vAlign w:val="center"/>
          </w:tcPr>
          <w:p>
            <w:pPr>
              <w:spacing w:beforeLines="50"/>
              <w:jc w:val="center"/>
              <w:rPr>
                <w:rFonts w:ascii="宋体" w:hAnsi="宋体" w:cs="宋体"/>
                <w:sz w:val="24"/>
              </w:rPr>
            </w:pPr>
          </w:p>
        </w:tc>
        <w:tc>
          <w:tcPr>
            <w:tcW w:w="1983" w:type="dxa"/>
            <w:vMerge w:val="continue"/>
            <w:noWrap/>
            <w:vAlign w:val="center"/>
          </w:tcPr>
          <w:p>
            <w:pPr>
              <w:spacing w:beforeLines="50"/>
              <w:jc w:val="center"/>
              <w:rPr>
                <w:rFonts w:ascii="宋体" w:hAnsi="宋体" w:cs="宋体"/>
                <w:sz w:val="24"/>
              </w:rPr>
            </w:pPr>
          </w:p>
        </w:tc>
        <w:tc>
          <w:tcPr>
            <w:tcW w:w="1328" w:type="dxa"/>
            <w:vMerge w:val="continue"/>
            <w:noWrap/>
            <w:vAlign w:val="center"/>
          </w:tcPr>
          <w:p>
            <w:pPr>
              <w:spacing w:beforeLines="50"/>
              <w:jc w:val="center"/>
              <w:rPr>
                <w:rFonts w:ascii="宋体" w:hAnsi="宋体" w:cs="宋体"/>
                <w:sz w:val="24"/>
              </w:rPr>
            </w:pPr>
          </w:p>
        </w:tc>
        <w:tc>
          <w:tcPr>
            <w:tcW w:w="1326" w:type="dxa"/>
            <w:vMerge w:val="continue"/>
            <w:noWrap/>
            <w:vAlign w:val="center"/>
          </w:tcPr>
          <w:p>
            <w:pPr>
              <w:spacing w:beforeLines="50"/>
              <w:jc w:val="center"/>
              <w:rPr>
                <w:rFonts w:ascii="宋体" w:hAnsi="宋体" w:cs="宋体"/>
                <w:sz w:val="24"/>
              </w:rPr>
            </w:pPr>
          </w:p>
        </w:tc>
        <w:tc>
          <w:tcPr>
            <w:tcW w:w="1572" w:type="dxa"/>
            <w:vMerge w:val="continue"/>
            <w:noWrap/>
            <w:vAlign w:val="center"/>
          </w:tcPr>
          <w:p>
            <w:pPr>
              <w:spacing w:before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328" w:type="dxa"/>
            <w:noWrap/>
            <w:vAlign w:val="center"/>
          </w:tcPr>
          <w:p>
            <w:pPr>
              <w:spacing w:beforeLines="50"/>
              <w:rPr>
                <w:rFonts w:ascii="宋体" w:hAnsi="宋体" w:cs="宋体"/>
                <w:sz w:val="24"/>
              </w:rPr>
            </w:pPr>
          </w:p>
        </w:tc>
        <w:tc>
          <w:tcPr>
            <w:tcW w:w="1803" w:type="dxa"/>
            <w:noWrap/>
            <w:vAlign w:val="center"/>
          </w:tcPr>
          <w:p>
            <w:pPr>
              <w:spacing w:beforeLines="50"/>
              <w:rPr>
                <w:rFonts w:ascii="宋体" w:hAnsi="宋体" w:cs="宋体"/>
                <w:sz w:val="24"/>
              </w:rPr>
            </w:pPr>
          </w:p>
        </w:tc>
        <w:tc>
          <w:tcPr>
            <w:tcW w:w="1983" w:type="dxa"/>
            <w:noWrap/>
            <w:vAlign w:val="center"/>
          </w:tcPr>
          <w:p>
            <w:pPr>
              <w:spacing w:beforeLines="50"/>
              <w:rPr>
                <w:rFonts w:ascii="宋体" w:hAnsi="宋体" w:cs="宋体"/>
                <w:sz w:val="24"/>
              </w:rPr>
            </w:pPr>
          </w:p>
        </w:tc>
        <w:tc>
          <w:tcPr>
            <w:tcW w:w="1328" w:type="dxa"/>
            <w:noWrap/>
            <w:vAlign w:val="center"/>
          </w:tcPr>
          <w:p>
            <w:pPr>
              <w:spacing w:beforeLines="50"/>
              <w:rPr>
                <w:rFonts w:ascii="宋体" w:hAnsi="宋体" w:cs="宋体"/>
                <w:sz w:val="24"/>
              </w:rPr>
            </w:pPr>
          </w:p>
        </w:tc>
        <w:tc>
          <w:tcPr>
            <w:tcW w:w="1326" w:type="dxa"/>
            <w:noWrap/>
            <w:vAlign w:val="center"/>
          </w:tcPr>
          <w:p>
            <w:pPr>
              <w:spacing w:beforeLines="50"/>
              <w:rPr>
                <w:rFonts w:ascii="宋体" w:hAnsi="宋体" w:cs="宋体"/>
                <w:sz w:val="24"/>
              </w:rPr>
            </w:pPr>
          </w:p>
        </w:tc>
        <w:tc>
          <w:tcPr>
            <w:tcW w:w="1572" w:type="dxa"/>
            <w:noWrap/>
            <w:vAlign w:val="center"/>
          </w:tcPr>
          <w:p>
            <w:pPr>
              <w:spacing w:before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328" w:type="dxa"/>
            <w:noWrap/>
            <w:vAlign w:val="center"/>
          </w:tcPr>
          <w:p>
            <w:pPr>
              <w:spacing w:beforeLines="50"/>
              <w:rPr>
                <w:rFonts w:ascii="宋体" w:hAnsi="宋体" w:cs="宋体"/>
                <w:sz w:val="24"/>
              </w:rPr>
            </w:pPr>
          </w:p>
        </w:tc>
        <w:tc>
          <w:tcPr>
            <w:tcW w:w="1803" w:type="dxa"/>
            <w:noWrap/>
            <w:vAlign w:val="center"/>
          </w:tcPr>
          <w:p>
            <w:pPr>
              <w:spacing w:beforeLines="50"/>
              <w:rPr>
                <w:rFonts w:ascii="宋体" w:hAnsi="宋体" w:cs="宋体"/>
                <w:sz w:val="24"/>
              </w:rPr>
            </w:pPr>
          </w:p>
        </w:tc>
        <w:tc>
          <w:tcPr>
            <w:tcW w:w="1983" w:type="dxa"/>
            <w:noWrap/>
            <w:vAlign w:val="center"/>
          </w:tcPr>
          <w:p>
            <w:pPr>
              <w:spacing w:beforeLines="50"/>
              <w:rPr>
                <w:rFonts w:ascii="宋体" w:hAnsi="宋体" w:cs="宋体"/>
                <w:sz w:val="24"/>
              </w:rPr>
            </w:pPr>
          </w:p>
        </w:tc>
        <w:tc>
          <w:tcPr>
            <w:tcW w:w="1328" w:type="dxa"/>
            <w:noWrap/>
            <w:vAlign w:val="center"/>
          </w:tcPr>
          <w:p>
            <w:pPr>
              <w:spacing w:beforeLines="50"/>
              <w:rPr>
                <w:rFonts w:ascii="宋体" w:hAnsi="宋体" w:cs="宋体"/>
                <w:sz w:val="24"/>
              </w:rPr>
            </w:pPr>
          </w:p>
        </w:tc>
        <w:tc>
          <w:tcPr>
            <w:tcW w:w="1326" w:type="dxa"/>
            <w:noWrap/>
            <w:vAlign w:val="center"/>
          </w:tcPr>
          <w:p>
            <w:pPr>
              <w:spacing w:beforeLines="50"/>
              <w:rPr>
                <w:rFonts w:ascii="宋体" w:hAnsi="宋体" w:cs="宋体"/>
                <w:sz w:val="24"/>
              </w:rPr>
            </w:pPr>
          </w:p>
        </w:tc>
        <w:tc>
          <w:tcPr>
            <w:tcW w:w="1572" w:type="dxa"/>
            <w:noWrap/>
            <w:vAlign w:val="center"/>
          </w:tcPr>
          <w:p>
            <w:pPr>
              <w:spacing w:before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328" w:type="dxa"/>
            <w:noWrap/>
            <w:vAlign w:val="center"/>
          </w:tcPr>
          <w:p>
            <w:pPr>
              <w:spacing w:beforeLines="50"/>
              <w:rPr>
                <w:rFonts w:ascii="宋体" w:hAnsi="宋体" w:cs="宋体"/>
                <w:sz w:val="24"/>
              </w:rPr>
            </w:pPr>
          </w:p>
        </w:tc>
        <w:tc>
          <w:tcPr>
            <w:tcW w:w="1803" w:type="dxa"/>
            <w:noWrap/>
            <w:vAlign w:val="center"/>
          </w:tcPr>
          <w:p>
            <w:pPr>
              <w:spacing w:beforeLines="50"/>
              <w:rPr>
                <w:rFonts w:ascii="宋体" w:hAnsi="宋体" w:cs="宋体"/>
                <w:sz w:val="24"/>
              </w:rPr>
            </w:pPr>
          </w:p>
        </w:tc>
        <w:tc>
          <w:tcPr>
            <w:tcW w:w="1983" w:type="dxa"/>
            <w:noWrap/>
            <w:vAlign w:val="center"/>
          </w:tcPr>
          <w:p>
            <w:pPr>
              <w:spacing w:beforeLines="50"/>
              <w:rPr>
                <w:rFonts w:ascii="宋体" w:hAnsi="宋体" w:cs="宋体"/>
                <w:sz w:val="24"/>
              </w:rPr>
            </w:pPr>
          </w:p>
        </w:tc>
        <w:tc>
          <w:tcPr>
            <w:tcW w:w="1328" w:type="dxa"/>
            <w:noWrap/>
            <w:vAlign w:val="center"/>
          </w:tcPr>
          <w:p>
            <w:pPr>
              <w:spacing w:beforeLines="50"/>
              <w:rPr>
                <w:rFonts w:ascii="宋体" w:hAnsi="宋体" w:cs="宋体"/>
                <w:sz w:val="24"/>
              </w:rPr>
            </w:pPr>
          </w:p>
        </w:tc>
        <w:tc>
          <w:tcPr>
            <w:tcW w:w="1326" w:type="dxa"/>
            <w:noWrap/>
            <w:vAlign w:val="center"/>
          </w:tcPr>
          <w:p>
            <w:pPr>
              <w:spacing w:beforeLines="50"/>
              <w:rPr>
                <w:rFonts w:ascii="宋体" w:hAnsi="宋体" w:cs="宋体"/>
                <w:sz w:val="24"/>
              </w:rPr>
            </w:pPr>
          </w:p>
        </w:tc>
        <w:tc>
          <w:tcPr>
            <w:tcW w:w="1572" w:type="dxa"/>
            <w:noWrap/>
            <w:vAlign w:val="center"/>
          </w:tcPr>
          <w:p>
            <w:pPr>
              <w:spacing w:before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328" w:type="dxa"/>
            <w:noWrap/>
            <w:vAlign w:val="center"/>
          </w:tcPr>
          <w:p>
            <w:pPr>
              <w:spacing w:beforeLines="50"/>
              <w:rPr>
                <w:rFonts w:ascii="宋体" w:hAnsi="宋体" w:cs="宋体"/>
                <w:sz w:val="24"/>
              </w:rPr>
            </w:pPr>
          </w:p>
        </w:tc>
        <w:tc>
          <w:tcPr>
            <w:tcW w:w="1803" w:type="dxa"/>
            <w:noWrap/>
            <w:vAlign w:val="center"/>
          </w:tcPr>
          <w:p>
            <w:pPr>
              <w:spacing w:beforeLines="50"/>
              <w:rPr>
                <w:rFonts w:ascii="宋体" w:hAnsi="宋体" w:cs="宋体"/>
                <w:sz w:val="24"/>
              </w:rPr>
            </w:pPr>
          </w:p>
        </w:tc>
        <w:tc>
          <w:tcPr>
            <w:tcW w:w="1983" w:type="dxa"/>
            <w:noWrap/>
            <w:vAlign w:val="center"/>
          </w:tcPr>
          <w:p>
            <w:pPr>
              <w:spacing w:beforeLines="50"/>
              <w:rPr>
                <w:rFonts w:ascii="宋体" w:hAnsi="宋体" w:cs="宋体"/>
                <w:sz w:val="24"/>
              </w:rPr>
            </w:pPr>
          </w:p>
        </w:tc>
        <w:tc>
          <w:tcPr>
            <w:tcW w:w="1328" w:type="dxa"/>
            <w:noWrap/>
            <w:vAlign w:val="center"/>
          </w:tcPr>
          <w:p>
            <w:pPr>
              <w:spacing w:beforeLines="50"/>
              <w:rPr>
                <w:rFonts w:ascii="宋体" w:hAnsi="宋体" w:cs="宋体"/>
                <w:sz w:val="24"/>
              </w:rPr>
            </w:pPr>
          </w:p>
        </w:tc>
        <w:tc>
          <w:tcPr>
            <w:tcW w:w="1326" w:type="dxa"/>
            <w:noWrap/>
            <w:vAlign w:val="center"/>
          </w:tcPr>
          <w:p>
            <w:pPr>
              <w:spacing w:beforeLines="50"/>
              <w:rPr>
                <w:rFonts w:ascii="宋体" w:hAnsi="宋体" w:cs="宋体"/>
                <w:sz w:val="24"/>
              </w:rPr>
            </w:pPr>
          </w:p>
        </w:tc>
        <w:tc>
          <w:tcPr>
            <w:tcW w:w="1572" w:type="dxa"/>
            <w:noWrap/>
            <w:vAlign w:val="center"/>
          </w:tcPr>
          <w:p>
            <w:pPr>
              <w:spacing w:before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328" w:type="dxa"/>
            <w:noWrap/>
            <w:vAlign w:val="center"/>
          </w:tcPr>
          <w:p>
            <w:pPr>
              <w:spacing w:beforeLines="50"/>
              <w:rPr>
                <w:rFonts w:ascii="宋体" w:hAnsi="宋体" w:cs="宋体"/>
                <w:sz w:val="24"/>
              </w:rPr>
            </w:pPr>
          </w:p>
        </w:tc>
        <w:tc>
          <w:tcPr>
            <w:tcW w:w="1803" w:type="dxa"/>
            <w:noWrap/>
            <w:vAlign w:val="center"/>
          </w:tcPr>
          <w:p>
            <w:pPr>
              <w:spacing w:beforeLines="50"/>
              <w:rPr>
                <w:rFonts w:ascii="宋体" w:hAnsi="宋体" w:cs="宋体"/>
                <w:sz w:val="24"/>
              </w:rPr>
            </w:pPr>
          </w:p>
        </w:tc>
        <w:tc>
          <w:tcPr>
            <w:tcW w:w="1983" w:type="dxa"/>
            <w:noWrap/>
            <w:vAlign w:val="center"/>
          </w:tcPr>
          <w:p>
            <w:pPr>
              <w:spacing w:beforeLines="50"/>
              <w:rPr>
                <w:rFonts w:ascii="宋体" w:hAnsi="宋体" w:cs="宋体"/>
                <w:sz w:val="24"/>
              </w:rPr>
            </w:pPr>
          </w:p>
        </w:tc>
        <w:tc>
          <w:tcPr>
            <w:tcW w:w="1328" w:type="dxa"/>
            <w:noWrap/>
            <w:vAlign w:val="center"/>
          </w:tcPr>
          <w:p>
            <w:pPr>
              <w:spacing w:beforeLines="50"/>
              <w:rPr>
                <w:rFonts w:ascii="宋体" w:hAnsi="宋体" w:cs="宋体"/>
                <w:sz w:val="24"/>
              </w:rPr>
            </w:pPr>
          </w:p>
        </w:tc>
        <w:tc>
          <w:tcPr>
            <w:tcW w:w="1326" w:type="dxa"/>
            <w:noWrap/>
            <w:vAlign w:val="center"/>
          </w:tcPr>
          <w:p>
            <w:pPr>
              <w:spacing w:beforeLines="50"/>
              <w:rPr>
                <w:rFonts w:ascii="宋体" w:hAnsi="宋体" w:cs="宋体"/>
                <w:sz w:val="24"/>
              </w:rPr>
            </w:pPr>
          </w:p>
        </w:tc>
        <w:tc>
          <w:tcPr>
            <w:tcW w:w="1572" w:type="dxa"/>
            <w:noWrap/>
            <w:vAlign w:val="center"/>
          </w:tcPr>
          <w:p>
            <w:pPr>
              <w:spacing w:before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328" w:type="dxa"/>
            <w:noWrap/>
            <w:vAlign w:val="center"/>
          </w:tcPr>
          <w:p>
            <w:pPr>
              <w:spacing w:beforeLines="50"/>
              <w:rPr>
                <w:rFonts w:ascii="宋体" w:hAnsi="宋体" w:cs="宋体"/>
                <w:sz w:val="24"/>
              </w:rPr>
            </w:pPr>
          </w:p>
        </w:tc>
        <w:tc>
          <w:tcPr>
            <w:tcW w:w="1803" w:type="dxa"/>
            <w:noWrap/>
            <w:vAlign w:val="center"/>
          </w:tcPr>
          <w:p>
            <w:pPr>
              <w:spacing w:beforeLines="50"/>
              <w:rPr>
                <w:rFonts w:ascii="宋体" w:hAnsi="宋体" w:cs="宋体"/>
                <w:sz w:val="24"/>
              </w:rPr>
            </w:pPr>
          </w:p>
        </w:tc>
        <w:tc>
          <w:tcPr>
            <w:tcW w:w="1983" w:type="dxa"/>
            <w:noWrap/>
            <w:vAlign w:val="center"/>
          </w:tcPr>
          <w:p>
            <w:pPr>
              <w:spacing w:beforeLines="50"/>
              <w:rPr>
                <w:rFonts w:ascii="宋体" w:hAnsi="宋体" w:cs="宋体"/>
                <w:sz w:val="24"/>
              </w:rPr>
            </w:pPr>
          </w:p>
        </w:tc>
        <w:tc>
          <w:tcPr>
            <w:tcW w:w="1328" w:type="dxa"/>
            <w:noWrap/>
            <w:vAlign w:val="center"/>
          </w:tcPr>
          <w:p>
            <w:pPr>
              <w:spacing w:beforeLines="50"/>
              <w:rPr>
                <w:rFonts w:ascii="宋体" w:hAnsi="宋体" w:cs="宋体"/>
                <w:sz w:val="24"/>
              </w:rPr>
            </w:pPr>
          </w:p>
        </w:tc>
        <w:tc>
          <w:tcPr>
            <w:tcW w:w="1326" w:type="dxa"/>
            <w:noWrap/>
            <w:vAlign w:val="center"/>
          </w:tcPr>
          <w:p>
            <w:pPr>
              <w:spacing w:beforeLines="50"/>
              <w:rPr>
                <w:rFonts w:ascii="宋体" w:hAnsi="宋体" w:cs="宋体"/>
                <w:sz w:val="24"/>
              </w:rPr>
            </w:pPr>
          </w:p>
        </w:tc>
        <w:tc>
          <w:tcPr>
            <w:tcW w:w="1572" w:type="dxa"/>
            <w:noWrap/>
            <w:vAlign w:val="center"/>
          </w:tcPr>
          <w:p>
            <w:pPr>
              <w:spacing w:before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328" w:type="dxa"/>
            <w:noWrap/>
            <w:vAlign w:val="center"/>
          </w:tcPr>
          <w:p>
            <w:pPr>
              <w:spacing w:beforeLines="50"/>
              <w:rPr>
                <w:rFonts w:ascii="宋体" w:hAnsi="宋体" w:cs="宋体"/>
                <w:sz w:val="24"/>
              </w:rPr>
            </w:pPr>
          </w:p>
        </w:tc>
        <w:tc>
          <w:tcPr>
            <w:tcW w:w="1803" w:type="dxa"/>
            <w:noWrap/>
            <w:vAlign w:val="center"/>
          </w:tcPr>
          <w:p>
            <w:pPr>
              <w:spacing w:beforeLines="50"/>
              <w:rPr>
                <w:rFonts w:ascii="宋体" w:hAnsi="宋体" w:cs="宋体"/>
                <w:sz w:val="24"/>
              </w:rPr>
            </w:pPr>
          </w:p>
        </w:tc>
        <w:tc>
          <w:tcPr>
            <w:tcW w:w="1983" w:type="dxa"/>
            <w:noWrap/>
            <w:vAlign w:val="center"/>
          </w:tcPr>
          <w:p>
            <w:pPr>
              <w:spacing w:beforeLines="50"/>
              <w:rPr>
                <w:rFonts w:ascii="宋体" w:hAnsi="宋体" w:cs="宋体"/>
                <w:sz w:val="24"/>
              </w:rPr>
            </w:pPr>
          </w:p>
        </w:tc>
        <w:tc>
          <w:tcPr>
            <w:tcW w:w="1328" w:type="dxa"/>
            <w:noWrap/>
            <w:vAlign w:val="center"/>
          </w:tcPr>
          <w:p>
            <w:pPr>
              <w:spacing w:beforeLines="50"/>
              <w:rPr>
                <w:rFonts w:ascii="宋体" w:hAnsi="宋体" w:cs="宋体"/>
                <w:sz w:val="24"/>
              </w:rPr>
            </w:pPr>
          </w:p>
        </w:tc>
        <w:tc>
          <w:tcPr>
            <w:tcW w:w="1326" w:type="dxa"/>
            <w:noWrap/>
            <w:vAlign w:val="center"/>
          </w:tcPr>
          <w:p>
            <w:pPr>
              <w:spacing w:beforeLines="50"/>
              <w:rPr>
                <w:rFonts w:ascii="宋体" w:hAnsi="宋体" w:cs="宋体"/>
                <w:sz w:val="24"/>
              </w:rPr>
            </w:pPr>
          </w:p>
        </w:tc>
        <w:tc>
          <w:tcPr>
            <w:tcW w:w="1572" w:type="dxa"/>
            <w:noWrap/>
            <w:vAlign w:val="center"/>
          </w:tcPr>
          <w:p>
            <w:pPr>
              <w:spacing w:beforeLines="50"/>
              <w:rPr>
                <w:rFonts w:ascii="宋体" w:hAnsi="宋体" w:cs="宋体"/>
                <w:sz w:val="24"/>
              </w:rPr>
            </w:pPr>
          </w:p>
        </w:tc>
      </w:tr>
    </w:tbl>
    <w:p>
      <w:pPr>
        <w:adjustRightInd w:val="0"/>
        <w:snapToGrid w:val="0"/>
        <w:spacing w:line="500" w:lineRule="exact"/>
        <w:rPr>
          <w:rFonts w:ascii="宋体" w:hAnsi="宋体" w:cs="宋体"/>
          <w:sz w:val="24"/>
        </w:rPr>
      </w:pPr>
      <w:r>
        <w:rPr>
          <w:rFonts w:hint="eastAsia" w:ascii="宋体" w:hAnsi="宋体" w:cs="宋体"/>
        </w:rPr>
        <w:t xml:space="preserve">                          </w:t>
      </w:r>
    </w:p>
    <w:p>
      <w:pPr>
        <w:adjustRightInd w:val="0"/>
        <w:snapToGrid w:val="0"/>
        <w:spacing w:line="500" w:lineRule="exact"/>
        <w:rPr>
          <w:rFonts w:ascii="宋体" w:hAnsi="宋体" w:cs="宋体"/>
          <w:sz w:val="24"/>
        </w:rPr>
      </w:pPr>
      <w:r>
        <w:rPr>
          <w:rFonts w:hint="eastAsia" w:ascii="宋体" w:hAnsi="宋体" w:cs="宋体"/>
          <w:sz w:val="24"/>
        </w:rPr>
        <w:t xml:space="preserve">供应商（盖章）：                                   </w:t>
      </w:r>
    </w:p>
    <w:p>
      <w:pPr>
        <w:adjustRightInd w:val="0"/>
        <w:snapToGrid w:val="0"/>
        <w:spacing w:line="500" w:lineRule="exact"/>
        <w:rPr>
          <w:rFonts w:ascii="宋体" w:hAnsi="宋体" w:cs="宋体"/>
          <w:sz w:val="24"/>
        </w:rPr>
      </w:pPr>
      <w:r>
        <w:rPr>
          <w:rFonts w:hint="eastAsia" w:ascii="宋体" w:hAnsi="宋体" w:cs="宋体"/>
          <w:sz w:val="24"/>
        </w:rPr>
        <w:t xml:space="preserve">法定代表人或授权代表（签字或盖章）：      </w:t>
      </w:r>
    </w:p>
    <w:p>
      <w:pPr>
        <w:adjustRightInd w:val="0"/>
        <w:snapToGrid w:val="0"/>
        <w:spacing w:line="500" w:lineRule="exact"/>
        <w:rPr>
          <w:rFonts w:ascii="宋体" w:hAnsi="宋体" w:cs="宋体"/>
          <w:sz w:val="24"/>
        </w:rPr>
      </w:pPr>
    </w:p>
    <w:p>
      <w:pPr>
        <w:adjustRightInd w:val="0"/>
        <w:snapToGrid w:val="0"/>
        <w:spacing w:line="500" w:lineRule="exact"/>
        <w:rPr>
          <w:rFonts w:ascii="宋体" w:hAnsi="宋体" w:cs="宋体"/>
          <w:sz w:val="24"/>
        </w:rPr>
      </w:pPr>
    </w:p>
    <w:p>
      <w:pPr>
        <w:adjustRightInd w:val="0"/>
        <w:snapToGrid w:val="0"/>
        <w:spacing w:line="500" w:lineRule="exact"/>
        <w:rPr>
          <w:rFonts w:ascii="宋体" w:hAnsi="宋体" w:cs="宋体"/>
          <w:sz w:val="24"/>
        </w:rPr>
      </w:pPr>
    </w:p>
    <w:p>
      <w:pPr>
        <w:adjustRightInd w:val="0"/>
        <w:snapToGrid w:val="0"/>
        <w:spacing w:line="500" w:lineRule="exact"/>
        <w:rPr>
          <w:rFonts w:ascii="宋体" w:hAnsi="宋体" w:cs="宋体"/>
          <w:sz w:val="24"/>
        </w:rPr>
      </w:pPr>
      <w:r>
        <w:rPr>
          <w:rFonts w:hint="eastAsia" w:ascii="宋体" w:hAnsi="宋体" w:cs="宋体"/>
          <w:sz w:val="24"/>
        </w:rPr>
        <w:t xml:space="preserve">   </w:t>
      </w:r>
    </w:p>
    <w:p>
      <w:pP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pStyle w:val="34"/>
        <w:spacing w:line="360" w:lineRule="auto"/>
        <w:jc w:val="left"/>
        <w:rPr>
          <w:rFonts w:ascii="宋体" w:hAnsi="宋体" w:eastAsia="宋体" w:cs="宋体"/>
        </w:rPr>
      </w:pPr>
    </w:p>
    <w:p>
      <w:pPr>
        <w:pStyle w:val="8"/>
        <w:ind w:right="283" w:rightChars="135"/>
        <w:jc w:val="both"/>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rPr>
      </w:pPr>
    </w:p>
    <w:p>
      <w:pPr>
        <w:pStyle w:val="24"/>
        <w:ind w:left="420" w:firstLine="280"/>
      </w:pPr>
    </w:p>
    <w:p>
      <w:pPr>
        <w:pStyle w:val="8"/>
        <w:ind w:right="283" w:rightChars="135"/>
        <w:jc w:val="both"/>
        <w:rPr>
          <w:rFonts w:asciiTheme="minorEastAsia" w:hAnsiTheme="minorEastAsia" w:eastAsiaTheme="minorEastAsia" w:cstheme="minorEastAsia"/>
          <w:sz w:val="24"/>
          <w:szCs w:val="24"/>
        </w:rPr>
      </w:pPr>
    </w:p>
    <w:p>
      <w:pPr>
        <w:pStyle w:val="8"/>
        <w:ind w:right="283" w:rightChars="135"/>
        <w:jc w:val="both"/>
        <w:rPr>
          <w:rFonts w:asciiTheme="minorEastAsia" w:hAnsiTheme="minorEastAsia" w:eastAsiaTheme="minorEastAsia" w:cstheme="minorEastAsia"/>
          <w:sz w:val="24"/>
          <w:szCs w:val="24"/>
        </w:rPr>
      </w:pPr>
    </w:p>
    <w:p>
      <w:pPr>
        <w:pStyle w:val="8"/>
        <w:ind w:right="283" w:rightChars="135"/>
        <w:jc w:val="both"/>
        <w:rPr>
          <w:rFonts w:asciiTheme="minorEastAsia" w:hAnsiTheme="minorEastAsia" w:eastAsiaTheme="minorEastAsia" w:cstheme="minorEastAsia"/>
          <w:sz w:val="24"/>
          <w:szCs w:val="24"/>
        </w:rPr>
      </w:pPr>
    </w:p>
    <w:p>
      <w:pPr>
        <w:pStyle w:val="8"/>
        <w:ind w:right="283" w:rightChars="135"/>
        <w:jc w:val="both"/>
        <w:rPr>
          <w:rFonts w:asciiTheme="minorEastAsia" w:hAnsiTheme="minorEastAsia" w:eastAsiaTheme="minorEastAsia" w:cstheme="minorEastAsia"/>
          <w:sz w:val="24"/>
          <w:szCs w:val="24"/>
        </w:rPr>
      </w:pPr>
    </w:p>
    <w:p>
      <w:pPr>
        <w:pStyle w:val="8"/>
        <w:ind w:right="283" w:rightChars="135"/>
        <w:jc w:val="both"/>
        <w:rPr>
          <w:rFonts w:asciiTheme="minorEastAsia" w:hAnsiTheme="minorEastAsia" w:eastAsiaTheme="minorEastAsia" w:cstheme="minorEastAsia"/>
          <w:sz w:val="24"/>
          <w:szCs w:val="24"/>
        </w:rPr>
      </w:pPr>
    </w:p>
    <w:p>
      <w:pPr>
        <w:pStyle w:val="8"/>
        <w:ind w:right="283" w:rightChars="135"/>
        <w:jc w:val="both"/>
        <w:rPr>
          <w:rFonts w:asciiTheme="minorEastAsia" w:hAnsiTheme="minorEastAsia" w:eastAsiaTheme="minorEastAsia" w:cstheme="minorEastAsia"/>
          <w:sz w:val="24"/>
          <w:szCs w:val="24"/>
        </w:rPr>
      </w:pPr>
    </w:p>
    <w:p>
      <w:pPr>
        <w:pStyle w:val="8"/>
        <w:ind w:right="283" w:rightChars="135"/>
        <w:jc w:val="both"/>
        <w:rPr>
          <w:rFonts w:asciiTheme="minorEastAsia" w:hAnsiTheme="minorEastAsia" w:eastAsiaTheme="minorEastAsia" w:cstheme="minorEastAsia"/>
          <w:sz w:val="24"/>
          <w:szCs w:val="24"/>
        </w:rPr>
      </w:pPr>
    </w:p>
    <w:p>
      <w:pPr>
        <w:pStyle w:val="8"/>
        <w:ind w:right="283" w:rightChars="13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附件四：</w:t>
      </w:r>
    </w:p>
    <w:p>
      <w:pPr>
        <w:jc w:val="center"/>
        <w:rPr>
          <w:rFonts w:asciiTheme="minorEastAsia" w:hAnsiTheme="minorEastAsia" w:eastAsiaTheme="minorEastAsia" w:cstheme="minorEastAsia"/>
          <w:sz w:val="24"/>
        </w:rPr>
      </w:pPr>
      <w:bookmarkStart w:id="154" w:name="_Toc417042985"/>
      <w:bookmarkStart w:id="155" w:name="_Toc2388"/>
      <w:r>
        <w:rPr>
          <w:rFonts w:hint="eastAsia" w:asciiTheme="minorEastAsia" w:hAnsiTheme="minorEastAsia" w:eastAsiaTheme="minorEastAsia" w:cstheme="minorEastAsia"/>
          <w:sz w:val="24"/>
        </w:rPr>
        <w:t>商务条款偏离表</w:t>
      </w:r>
      <w:bookmarkEnd w:id="154"/>
      <w:bookmarkEnd w:id="155"/>
    </w:p>
    <w:p>
      <w:pPr>
        <w:pStyle w:val="14"/>
        <w:spacing w:beforeLines="50" w:line="360" w:lineRule="auto"/>
        <w:ind w:firstLine="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项目编号：</w:t>
      </w:r>
    </w:p>
    <w:p>
      <w:pPr>
        <w:pStyle w:val="14"/>
        <w:spacing w:line="360" w:lineRule="auto"/>
        <w:ind w:firstLine="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投标人名称：（公章）</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法定代表人或授权代理人签字：</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w:t>
      </w:r>
    </w:p>
    <w:tbl>
      <w:tblPr>
        <w:tblStyle w:val="25"/>
        <w:tblW w:w="8587" w:type="dxa"/>
        <w:jc w:val="center"/>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487"/>
        <w:gridCol w:w="2775"/>
        <w:gridCol w:w="190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招标文件</w:t>
            </w:r>
          </w:p>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条款号</w:t>
            </w: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招标文件的商务条款</w:t>
            </w: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投标文件的商务条款</w:t>
            </w: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sz w:val="24"/>
              </w:rPr>
            </w:pPr>
          </w:p>
        </w:tc>
      </w:tr>
    </w:tbl>
    <w:p>
      <w:pPr>
        <w:pStyle w:val="8"/>
        <w:spacing w:line="360" w:lineRule="auto"/>
        <w:jc w:val="right"/>
        <w:rPr>
          <w:rFonts w:asciiTheme="minorEastAsia" w:hAnsiTheme="minorEastAsia" w:eastAsiaTheme="minorEastAsia" w:cstheme="minorEastAsia"/>
          <w:sz w:val="24"/>
          <w:szCs w:val="24"/>
        </w:rPr>
      </w:pPr>
    </w:p>
    <w:p>
      <w:pPr>
        <w:pStyle w:val="8"/>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pStyle w:val="3"/>
        <w:rPr>
          <w:rFonts w:asciiTheme="minorEastAsia" w:hAnsiTheme="minorEastAsia" w:eastAsiaTheme="minorEastAsia" w:cstheme="minorEastAsia"/>
          <w:b w:val="0"/>
          <w:sz w:val="24"/>
          <w:szCs w:val="24"/>
        </w:rPr>
        <w:sectPr>
          <w:pgSz w:w="11906" w:h="16838"/>
          <w:pgMar w:top="1440" w:right="1800" w:bottom="1440" w:left="1800" w:header="851" w:footer="992" w:gutter="0"/>
          <w:cols w:space="425" w:num="1"/>
          <w:docGrid w:type="lines" w:linePitch="312" w:charSpace="0"/>
        </w:sectPr>
      </w:pPr>
      <w:bookmarkStart w:id="156" w:name="_Toc9816"/>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附件五：</w:t>
      </w:r>
      <w:bookmarkEnd w:id="156"/>
      <w:r>
        <w:rPr>
          <w:rFonts w:hint="eastAsia" w:asciiTheme="minorEastAsia" w:hAnsiTheme="minorEastAsia" w:eastAsiaTheme="minorEastAsia" w:cstheme="minorEastAsia"/>
          <w:sz w:val="24"/>
        </w:rPr>
        <w:t xml:space="preserve">               </w:t>
      </w:r>
      <w:bookmarkStart w:id="157" w:name="_Toc14818"/>
      <w:r>
        <w:rPr>
          <w:rFonts w:hint="eastAsia" w:asciiTheme="minorEastAsia" w:hAnsiTheme="minorEastAsia" w:eastAsiaTheme="minorEastAsia" w:cstheme="minorEastAsia"/>
          <w:sz w:val="24"/>
        </w:rPr>
        <w:t xml:space="preserve"> </w:t>
      </w:r>
    </w:p>
    <w:p>
      <w:pPr>
        <w:spacing w:line="360" w:lineRule="auto"/>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技术条款偏离表</w:t>
      </w:r>
      <w:bookmarkEnd w:id="157"/>
    </w:p>
    <w:p>
      <w:pPr>
        <w:pStyle w:val="14"/>
        <w:spacing w:beforeLines="50" w:line="360" w:lineRule="auto"/>
        <w:ind w:firstLine="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项目编号：</w:t>
      </w:r>
    </w:p>
    <w:p>
      <w:pPr>
        <w:pStyle w:val="14"/>
        <w:spacing w:line="360" w:lineRule="auto"/>
        <w:ind w:firstLine="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投标人名称：（公章）</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法定代表人或授权代理人签字：</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w:t>
      </w:r>
    </w:p>
    <w:tbl>
      <w:tblPr>
        <w:tblStyle w:val="25"/>
        <w:tblW w:w="830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55"/>
        <w:gridCol w:w="2513"/>
        <w:gridCol w:w="258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招标文件</w:t>
            </w:r>
          </w:p>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条款号</w:t>
            </w: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招标文件的服务条款</w:t>
            </w: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投标文件的服务条款</w:t>
            </w: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asciiTheme="minorEastAsia" w:hAnsiTheme="minorEastAsia" w:eastAsiaTheme="minorEastAsia" w:cstheme="minorEastAsia"/>
                <w:sz w:val="24"/>
              </w:rPr>
            </w:pPr>
          </w:p>
        </w:tc>
      </w:tr>
    </w:tbl>
    <w:p>
      <w:pPr>
        <w:pStyle w:val="8"/>
        <w:jc w:val="right"/>
        <w:rPr>
          <w:rFonts w:asciiTheme="minorEastAsia" w:hAnsiTheme="minorEastAsia" w:eastAsiaTheme="minorEastAsia" w:cstheme="minorEastAsia"/>
          <w:sz w:val="24"/>
          <w:szCs w:val="24"/>
        </w:rPr>
      </w:pPr>
    </w:p>
    <w:p>
      <w:pPr>
        <w:pStyle w:val="8"/>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pStyle w:val="12"/>
        <w:spacing w:line="460" w:lineRule="exact"/>
        <w:ind w:right="283" w:rightChars="135"/>
        <w:rPr>
          <w:rFonts w:asciiTheme="minorEastAsia" w:hAnsiTheme="minorEastAsia" w:eastAsiaTheme="minorEastAsia" w:cstheme="minorEastAsia"/>
          <w:sz w:val="24"/>
        </w:rPr>
      </w:pPr>
    </w:p>
    <w:p>
      <w:pPr>
        <w:jc w:val="left"/>
        <w:rPr>
          <w:rFonts w:asciiTheme="minorEastAsia" w:hAnsiTheme="minorEastAsia" w:eastAsiaTheme="minorEastAsia" w:cstheme="minorEastAsia"/>
          <w:sz w:val="24"/>
        </w:rPr>
      </w:pPr>
      <w:bookmarkStart w:id="158" w:name="_Toc22066"/>
      <w:bookmarkStart w:id="159" w:name="_Toc2295"/>
      <w:bookmarkStart w:id="160" w:name="_Toc350430975"/>
    </w:p>
    <w:p>
      <w:pPr>
        <w:pStyle w:val="3"/>
        <w:jc w:val="left"/>
        <w:rPr>
          <w:rFonts w:asciiTheme="minorEastAsia" w:hAnsiTheme="minorEastAsia" w:eastAsiaTheme="minorEastAsia" w:cstheme="minorEastAsia"/>
          <w:b w:val="0"/>
          <w:sz w:val="24"/>
          <w:szCs w:val="24"/>
        </w:rPr>
        <w:sectPr>
          <w:pgSz w:w="11906" w:h="16838"/>
          <w:pgMar w:top="1440" w:right="1800" w:bottom="1440" w:left="1800" w:header="851" w:footer="992" w:gutter="0"/>
          <w:cols w:space="425" w:num="1"/>
          <w:docGrid w:type="lines" w:linePitch="312" w:charSpace="0"/>
        </w:sectPr>
      </w:pPr>
    </w:p>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附件六：</w:t>
      </w:r>
      <w:bookmarkEnd w:id="158"/>
    </w:p>
    <w:bookmarkEnd w:id="159"/>
    <w:bookmarkEnd w:id="160"/>
    <w:p>
      <w:pPr>
        <w:spacing w:line="360" w:lineRule="auto"/>
        <w:jc w:val="center"/>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主要从业人员及其技术资格一览表</w:t>
      </w:r>
    </w:p>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投标人名称（公章）：                          </w:t>
      </w:r>
      <w:r>
        <w:rPr>
          <w:rFonts w:hint="eastAsia" w:asciiTheme="minorEastAsia" w:hAnsiTheme="minorEastAsia" w:eastAsiaTheme="minorEastAsia" w:cstheme="minorEastAsia"/>
          <w:sz w:val="24"/>
        </w:rPr>
        <w:t xml:space="preserve">         </w:t>
      </w:r>
    </w:p>
    <w:tbl>
      <w:tblPr>
        <w:tblStyle w:val="25"/>
        <w:tblW w:w="8300" w:type="dxa"/>
        <w:jc w:val="center"/>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1297"/>
        <w:gridCol w:w="1162"/>
        <w:gridCol w:w="1162"/>
        <w:gridCol w:w="1660"/>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1"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姓名</w:t>
            </w:r>
          </w:p>
        </w:tc>
        <w:tc>
          <w:tcPr>
            <w:tcW w:w="12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职务</w:t>
            </w:r>
          </w:p>
        </w:tc>
        <w:tc>
          <w:tcPr>
            <w:tcW w:w="1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专业技</w:t>
            </w:r>
          </w:p>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术资格</w:t>
            </w:r>
          </w:p>
        </w:tc>
        <w:tc>
          <w:tcPr>
            <w:tcW w:w="1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证书</w:t>
            </w:r>
          </w:p>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编号</w:t>
            </w:r>
          </w:p>
        </w:tc>
        <w:tc>
          <w:tcPr>
            <w:tcW w:w="1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参加本单位工作时间</w:t>
            </w:r>
          </w:p>
        </w:tc>
        <w:tc>
          <w:tcPr>
            <w:tcW w:w="23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6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6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6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ind w:left="5250"/>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6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6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6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6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bl>
    <w:p>
      <w:pPr>
        <w:autoSpaceDE w:val="0"/>
        <w:autoSpaceDN w:val="0"/>
        <w:adjustRightInd w:val="0"/>
        <w:spacing w:before="50" w:after="120" w:line="4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注：在填写时，如本表格不适合投标单位的实际情况，可根据本表格式自行划表填写。 </w:t>
      </w:r>
    </w:p>
    <w:p>
      <w:pPr>
        <w:autoSpaceDE w:val="0"/>
        <w:autoSpaceDN w:val="0"/>
        <w:adjustRightInd w:val="0"/>
        <w:spacing w:before="50" w:after="120" w:line="460" w:lineRule="exact"/>
        <w:rPr>
          <w:rFonts w:asciiTheme="minorEastAsia" w:hAnsiTheme="minorEastAsia" w:eastAsiaTheme="minorEastAsia" w:cstheme="minorEastAsia"/>
          <w:sz w:val="24"/>
          <w:lang w:val="zh-CN"/>
        </w:rPr>
      </w:pPr>
    </w:p>
    <w:p>
      <w:pPr>
        <w:autoSpaceDE w:val="0"/>
        <w:autoSpaceDN w:val="0"/>
        <w:adjustRightInd w:val="0"/>
        <w:spacing w:before="12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法定代表人或者被授权代表：</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（签字）               日期：</w:t>
      </w:r>
      <w:r>
        <w:rPr>
          <w:rFonts w:hint="eastAsia" w:asciiTheme="minorEastAsia" w:hAnsiTheme="minorEastAsia" w:eastAsiaTheme="minorEastAsia" w:cstheme="minorEastAsia"/>
          <w:sz w:val="24"/>
          <w:u w:val="single"/>
          <w:lang w:val="zh-CN"/>
        </w:rPr>
        <w:t xml:space="preserve">         </w:t>
      </w:r>
    </w:p>
    <w:p>
      <w:pPr>
        <w:spacing w:line="360" w:lineRule="auto"/>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13"/>
        <w:rPr>
          <w:rFonts w:asciiTheme="minorEastAsia" w:hAnsiTheme="minorEastAsia" w:eastAsiaTheme="minorEastAsia" w:cstheme="minorEastAsia"/>
          <w:color w:val="auto"/>
        </w:rPr>
      </w:pPr>
    </w:p>
    <w:p>
      <w:pPr>
        <w:spacing w:line="360" w:lineRule="auto"/>
        <w:jc w:val="center"/>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主要设备一览表</w:t>
      </w:r>
    </w:p>
    <w:p>
      <w:pPr>
        <w:spacing w:line="36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投标人名称（公章）：                          </w:t>
      </w:r>
      <w:r>
        <w:rPr>
          <w:rFonts w:hint="eastAsia" w:asciiTheme="minorEastAsia" w:hAnsiTheme="minorEastAsia" w:eastAsiaTheme="minorEastAsia" w:cstheme="minorEastAsia"/>
          <w:sz w:val="24"/>
        </w:rPr>
        <w:t xml:space="preserve">         </w:t>
      </w:r>
    </w:p>
    <w:tbl>
      <w:tblPr>
        <w:tblStyle w:val="25"/>
        <w:tblW w:w="9024" w:type="dxa"/>
        <w:jc w:val="center"/>
        <w:tblInd w:w="-6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9"/>
        <w:gridCol w:w="1297"/>
        <w:gridCol w:w="1162"/>
        <w:gridCol w:w="1162"/>
        <w:gridCol w:w="1660"/>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1"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设备名称</w:t>
            </w:r>
          </w:p>
        </w:tc>
        <w:tc>
          <w:tcPr>
            <w:tcW w:w="12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生产厂家</w:t>
            </w:r>
          </w:p>
        </w:tc>
        <w:tc>
          <w:tcPr>
            <w:tcW w:w="1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生产日期</w:t>
            </w:r>
          </w:p>
        </w:tc>
        <w:tc>
          <w:tcPr>
            <w:tcW w:w="1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规格型号</w:t>
            </w:r>
          </w:p>
        </w:tc>
        <w:tc>
          <w:tcPr>
            <w:tcW w:w="1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设备完好情况</w:t>
            </w:r>
          </w:p>
        </w:tc>
        <w:tc>
          <w:tcPr>
            <w:tcW w:w="23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1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1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1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ind w:left="5250"/>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1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1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1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1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16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c>
          <w:tcPr>
            <w:tcW w:w="23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60" w:lineRule="exact"/>
              <w:rPr>
                <w:rFonts w:asciiTheme="minorEastAsia" w:hAnsiTheme="minorEastAsia" w:eastAsiaTheme="minorEastAsia" w:cstheme="minorEastAsia"/>
                <w:sz w:val="24"/>
              </w:rPr>
            </w:pPr>
          </w:p>
        </w:tc>
      </w:tr>
    </w:tbl>
    <w:p>
      <w:pPr>
        <w:autoSpaceDE w:val="0"/>
        <w:autoSpaceDN w:val="0"/>
        <w:adjustRightInd w:val="0"/>
        <w:spacing w:before="50" w:after="120" w:line="4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注：在填写时，如本表格不适合投标单位的实际情况，可根据本表格式自行划表填写。 </w:t>
      </w:r>
    </w:p>
    <w:p>
      <w:pPr>
        <w:autoSpaceDE w:val="0"/>
        <w:autoSpaceDN w:val="0"/>
        <w:adjustRightInd w:val="0"/>
        <w:spacing w:before="50" w:after="120" w:line="460" w:lineRule="exact"/>
        <w:rPr>
          <w:rFonts w:asciiTheme="minorEastAsia" w:hAnsiTheme="minorEastAsia" w:eastAsiaTheme="minorEastAsia" w:cstheme="minorEastAsia"/>
          <w:sz w:val="24"/>
          <w:lang w:val="zh-CN"/>
        </w:rPr>
      </w:pPr>
    </w:p>
    <w:p>
      <w:pPr>
        <w:pStyle w:val="12"/>
        <w:spacing w:line="460" w:lineRule="exact"/>
        <w:ind w:right="283" w:rightChars="135"/>
        <w:rPr>
          <w:rFonts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sz w:val="24"/>
          <w:lang w:val="zh-CN"/>
        </w:rPr>
        <w:t>法定代表人或者被授权代表：</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（签字）               日期：</w:t>
      </w:r>
      <w:r>
        <w:rPr>
          <w:rFonts w:hint="eastAsia" w:asciiTheme="minorEastAsia" w:hAnsiTheme="minorEastAsia" w:eastAsiaTheme="minorEastAsia" w:cstheme="minorEastAsia"/>
          <w:sz w:val="24"/>
          <w:u w:val="single"/>
          <w:lang w:val="zh-CN"/>
        </w:rPr>
        <w:t xml:space="preserve">         </w:t>
      </w:r>
    </w:p>
    <w:p>
      <w:pPr>
        <w:pStyle w:val="12"/>
        <w:spacing w:line="460" w:lineRule="exact"/>
        <w:ind w:right="283" w:rightChars="135"/>
        <w:rPr>
          <w:rFonts w:asciiTheme="minorEastAsia" w:hAnsiTheme="minorEastAsia" w:eastAsiaTheme="minorEastAsia" w:cstheme="minorEastAsia"/>
          <w:sz w:val="24"/>
          <w:u w:val="single"/>
          <w:lang w:val="zh-CN"/>
        </w:rPr>
      </w:pPr>
    </w:p>
    <w:p>
      <w:pPr>
        <w:pStyle w:val="12"/>
        <w:spacing w:line="460" w:lineRule="exact"/>
        <w:ind w:right="283" w:rightChars="135"/>
        <w:rPr>
          <w:rFonts w:asciiTheme="minorEastAsia" w:hAnsiTheme="minorEastAsia" w:eastAsiaTheme="minorEastAsia" w:cstheme="minorEastAsia"/>
          <w:sz w:val="24"/>
          <w:u w:val="single"/>
          <w:lang w:val="zh-CN"/>
        </w:rPr>
      </w:pPr>
    </w:p>
    <w:p>
      <w:pPr>
        <w:pStyle w:val="12"/>
        <w:spacing w:line="460" w:lineRule="exact"/>
        <w:ind w:right="283" w:rightChars="135"/>
        <w:rPr>
          <w:rFonts w:asciiTheme="minorEastAsia" w:hAnsiTheme="minorEastAsia" w:eastAsiaTheme="minorEastAsia" w:cstheme="minorEastAsia"/>
          <w:sz w:val="24"/>
          <w:u w:val="single"/>
          <w:lang w:val="zh-CN"/>
        </w:rPr>
      </w:pPr>
    </w:p>
    <w:p>
      <w:pPr>
        <w:pStyle w:val="12"/>
        <w:spacing w:line="460" w:lineRule="exact"/>
        <w:ind w:right="283" w:rightChars="135"/>
        <w:rPr>
          <w:rFonts w:asciiTheme="minorEastAsia" w:hAnsiTheme="minorEastAsia" w:eastAsiaTheme="minorEastAsia" w:cstheme="minorEastAsia"/>
          <w:sz w:val="24"/>
          <w:u w:val="single"/>
          <w:lang w:val="zh-CN"/>
        </w:rPr>
      </w:pPr>
    </w:p>
    <w:p>
      <w:pPr>
        <w:pStyle w:val="12"/>
        <w:spacing w:line="460" w:lineRule="exact"/>
        <w:ind w:right="283" w:rightChars="135"/>
        <w:rPr>
          <w:rFonts w:asciiTheme="minorEastAsia" w:hAnsiTheme="minorEastAsia" w:eastAsiaTheme="minorEastAsia" w:cstheme="minorEastAsia"/>
          <w:sz w:val="24"/>
          <w:u w:val="single"/>
          <w:lang w:val="zh-CN"/>
        </w:rPr>
      </w:pPr>
    </w:p>
    <w:p>
      <w:pPr>
        <w:pStyle w:val="12"/>
        <w:spacing w:line="460" w:lineRule="exact"/>
        <w:ind w:right="283" w:rightChars="135"/>
        <w:rPr>
          <w:rFonts w:asciiTheme="minorEastAsia" w:hAnsiTheme="minorEastAsia" w:eastAsiaTheme="minorEastAsia" w:cstheme="minorEastAsia"/>
          <w:sz w:val="24"/>
          <w:u w:val="single"/>
          <w:lang w:val="zh-CN"/>
        </w:rPr>
      </w:pPr>
    </w:p>
    <w:p>
      <w:pPr>
        <w:pStyle w:val="12"/>
        <w:spacing w:line="460" w:lineRule="exact"/>
        <w:ind w:right="283" w:rightChars="135"/>
        <w:rPr>
          <w:rFonts w:asciiTheme="minorEastAsia" w:hAnsiTheme="minorEastAsia" w:eastAsiaTheme="minorEastAsia" w:cstheme="minorEastAsia"/>
          <w:sz w:val="24"/>
          <w:u w:val="single"/>
          <w:lang w:val="zh-CN"/>
        </w:rPr>
      </w:pPr>
    </w:p>
    <w:p>
      <w:pPr>
        <w:pStyle w:val="12"/>
        <w:spacing w:line="460" w:lineRule="exact"/>
        <w:ind w:right="283" w:rightChars="135"/>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附件七：</w:t>
      </w:r>
    </w:p>
    <w:p>
      <w:pPr>
        <w:jc w:val="center"/>
        <w:rPr>
          <w:rFonts w:asciiTheme="minorEastAsia" w:hAnsiTheme="minorEastAsia" w:eastAsiaTheme="minorEastAsia" w:cstheme="minorEastAsia"/>
          <w:sz w:val="24"/>
        </w:rPr>
      </w:pPr>
      <w:bookmarkStart w:id="161" w:name="_Toc30823"/>
      <w:bookmarkStart w:id="162" w:name="_Toc417042987"/>
      <w:r>
        <w:rPr>
          <w:rFonts w:hint="eastAsia" w:asciiTheme="minorEastAsia" w:hAnsiTheme="minorEastAsia" w:eastAsiaTheme="minorEastAsia" w:cstheme="minorEastAsia"/>
          <w:sz w:val="24"/>
        </w:rPr>
        <w:t>近三年完成同类业绩一览表</w:t>
      </w:r>
      <w:bookmarkEnd w:id="161"/>
      <w:bookmarkEnd w:id="162"/>
    </w:p>
    <w:tbl>
      <w:tblPr>
        <w:tblStyle w:val="25"/>
        <w:tblW w:w="826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272"/>
        <w:gridCol w:w="1101"/>
        <w:gridCol w:w="1614"/>
        <w:gridCol w:w="1452"/>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使用单位</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规模</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服务周期</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合同价格</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p>
        </w:tc>
      </w:tr>
    </w:tbl>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注：本表可按同样格式扩展</w:t>
      </w:r>
    </w:p>
    <w:p>
      <w:pPr>
        <w:tabs>
          <w:tab w:val="left" w:pos="2715"/>
          <w:tab w:val="left" w:pos="3640"/>
          <w:tab w:val="left" w:pos="5040"/>
          <w:tab w:val="left" w:pos="7040"/>
          <w:tab w:val="left" w:pos="8340"/>
          <w:tab w:val="left" w:pos="9840"/>
        </w:tabs>
        <w:spacing w:line="360" w:lineRule="auto"/>
        <w:ind w:left="959" w:leftChars="-86" w:hanging="1140" w:hangingChars="4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说明：1、该表仅限国内以来的同类项目经营业绩。</w:t>
      </w:r>
    </w:p>
    <w:p>
      <w:pPr>
        <w:spacing w:line="360" w:lineRule="auto"/>
        <w:ind w:left="-1" w:leftChars="-86" w:hanging="180" w:hangingChars="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2、本表后按序号附合同协议书复印件。复印件与原件核验一致有效。</w:t>
      </w:r>
    </w:p>
    <w:p>
      <w:pPr>
        <w:widowControl/>
        <w:jc w:val="left"/>
        <w:rPr>
          <w:rFonts w:asciiTheme="minorEastAsia" w:hAnsiTheme="minorEastAsia" w:eastAsiaTheme="minorEastAsia" w:cstheme="minorEastAsia"/>
          <w:b/>
          <w:kern w:val="0"/>
          <w:sz w:val="24"/>
        </w:rPr>
      </w:pPr>
    </w:p>
    <w:p>
      <w:pPr>
        <w:widowControl/>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附件八：</w:t>
      </w:r>
    </w:p>
    <w:p>
      <w:pPr>
        <w:pStyle w:val="14"/>
        <w:spacing w:line="460" w:lineRule="exact"/>
        <w:ind w:firstLine="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无重大违法记录声明</w:t>
      </w:r>
    </w:p>
    <w:p>
      <w:pPr>
        <w:pStyle w:val="14"/>
        <w:spacing w:line="460" w:lineRule="exact"/>
        <w:ind w:left="1747" w:firstLine="0"/>
        <w:jc w:val="center"/>
        <w:rPr>
          <w:rFonts w:asciiTheme="minorEastAsia" w:hAnsiTheme="minorEastAsia" w:eastAsiaTheme="minorEastAsia" w:cstheme="minorEastAsia"/>
          <w:b/>
          <w:bCs/>
          <w:sz w:val="24"/>
        </w:rPr>
      </w:pPr>
    </w:p>
    <w:p>
      <w:pPr>
        <w:pStyle w:val="14"/>
        <w:spacing w:line="480" w:lineRule="auto"/>
        <w:ind w:firstLine="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致山东蓝盾招标代理有限公司：</w:t>
      </w:r>
    </w:p>
    <w:p>
      <w:pPr>
        <w:pStyle w:val="14"/>
        <w:spacing w:line="480" w:lineRule="auto"/>
        <w:ind w:firstLine="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我公司</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（公司名称）现郑重声明，自2016年1月1日起至今，我公司无以下重大违法事项：</w:t>
      </w:r>
    </w:p>
    <w:p>
      <w:pPr>
        <w:pStyle w:val="14"/>
        <w:spacing w:line="480" w:lineRule="auto"/>
        <w:ind w:firstLine="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1、因违法经营受到刑事处罚或者责令停产停业的；</w:t>
      </w:r>
    </w:p>
    <w:p>
      <w:pPr>
        <w:pStyle w:val="14"/>
        <w:spacing w:line="480" w:lineRule="auto"/>
        <w:ind w:firstLine="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2、吊销许可证或者执照的；</w:t>
      </w:r>
    </w:p>
    <w:p>
      <w:pPr>
        <w:pStyle w:val="14"/>
        <w:spacing w:line="480" w:lineRule="auto"/>
        <w:ind w:firstLine="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3、较大数额罚款等行政处罚。</w:t>
      </w:r>
    </w:p>
    <w:p>
      <w:pPr>
        <w:pStyle w:val="14"/>
        <w:spacing w:line="480" w:lineRule="auto"/>
        <w:ind w:firstLine="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如有瞒报、虚报，我公司自行承担因此产生的所有法律责任。</w:t>
      </w:r>
    </w:p>
    <w:p>
      <w:pPr>
        <w:pStyle w:val="14"/>
        <w:spacing w:line="480" w:lineRule="auto"/>
        <w:ind w:firstLine="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特此声明！</w:t>
      </w:r>
    </w:p>
    <w:p>
      <w:pPr>
        <w:pStyle w:val="14"/>
        <w:spacing w:line="480" w:lineRule="auto"/>
        <w:ind w:left="1747" w:firstLine="0"/>
        <w:rPr>
          <w:rFonts w:asciiTheme="minorEastAsia" w:hAnsiTheme="minorEastAsia" w:eastAsiaTheme="minorEastAsia" w:cstheme="minorEastAsia"/>
          <w:bCs/>
          <w:sz w:val="24"/>
        </w:rPr>
      </w:pPr>
    </w:p>
    <w:p>
      <w:pPr>
        <w:pStyle w:val="14"/>
        <w:spacing w:line="480" w:lineRule="auto"/>
        <w:ind w:left="1747" w:firstLine="0"/>
        <w:rPr>
          <w:rFonts w:asciiTheme="minorEastAsia" w:hAnsiTheme="minorEastAsia" w:eastAsiaTheme="minorEastAsia" w:cstheme="minorEastAsia"/>
          <w:bCs/>
          <w:sz w:val="24"/>
        </w:rPr>
      </w:pPr>
    </w:p>
    <w:p>
      <w:pPr>
        <w:pStyle w:val="14"/>
        <w:spacing w:line="480" w:lineRule="auto"/>
        <w:ind w:left="1747" w:firstLine="0"/>
        <w:rPr>
          <w:rFonts w:asciiTheme="minorEastAsia" w:hAnsiTheme="minorEastAsia" w:eastAsiaTheme="minorEastAsia" w:cstheme="minorEastAsia"/>
          <w:bCs/>
          <w:sz w:val="24"/>
        </w:rPr>
      </w:pPr>
    </w:p>
    <w:p>
      <w:pPr>
        <w:pStyle w:val="14"/>
        <w:spacing w:line="480" w:lineRule="auto"/>
        <w:ind w:left="1747" w:firstLine="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公司名称（章）：                            </w:t>
      </w:r>
    </w:p>
    <w:p>
      <w:pPr>
        <w:pStyle w:val="14"/>
        <w:spacing w:line="480" w:lineRule="auto"/>
        <w:ind w:left="1747" w:firstLine="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 xml:space="preserve">         授权代表签字： </w:t>
      </w:r>
      <w:r>
        <w:rPr>
          <w:rFonts w:hint="eastAsia" w:asciiTheme="minorEastAsia" w:hAnsiTheme="minorEastAsia" w:eastAsiaTheme="minorEastAsia" w:cstheme="minorEastAsia"/>
          <w:b/>
          <w:sz w:val="24"/>
        </w:rPr>
        <w:t xml:space="preserve">                             </w:t>
      </w:r>
    </w:p>
    <w:p>
      <w:pPr>
        <w:pStyle w:val="14"/>
        <w:ind w:firstLine="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p>
    <w:p>
      <w:pPr>
        <w:pStyle w:val="14"/>
        <w:ind w:firstLine="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年    月    日</w:t>
      </w:r>
    </w:p>
    <w:p>
      <w:pPr>
        <w:pStyle w:val="14"/>
        <w:ind w:firstLine="0"/>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Cs/>
          <w:sz w:val="24"/>
        </w:rPr>
      </w:pPr>
    </w:p>
    <w:p>
      <w:pPr>
        <w:widowControl/>
        <w:jc w:val="left"/>
        <w:rPr>
          <w:rFonts w:asciiTheme="minorEastAsia" w:hAnsiTheme="minorEastAsia" w:eastAsiaTheme="minorEastAsia" w:cstheme="minorEastAsia"/>
          <w:bCs/>
          <w:sz w:val="24"/>
        </w:rPr>
      </w:pPr>
    </w:p>
    <w:p>
      <w:pPr>
        <w:pStyle w:val="24"/>
        <w:ind w:left="0" w:leftChars="0" w:firstLine="0" w:firstLineChars="0"/>
        <w:rPr>
          <w:rFonts w:asciiTheme="minorEastAsia" w:hAnsiTheme="minorEastAsia" w:eastAsiaTheme="minorEastAsia" w:cstheme="minorEastAsia"/>
          <w:bCs/>
          <w:sz w:val="24"/>
        </w:rPr>
      </w:pPr>
    </w:p>
    <w:p>
      <w:pPr>
        <w:pStyle w:val="24"/>
        <w:ind w:left="0" w:leftChars="0" w:firstLine="0" w:firstLineChars="0"/>
        <w:rPr>
          <w:rFonts w:asciiTheme="minorEastAsia" w:hAnsiTheme="minorEastAsia" w:eastAsiaTheme="minorEastAsia" w:cstheme="minorEastAsia"/>
          <w:bCs/>
          <w:sz w:val="24"/>
        </w:rPr>
      </w:pPr>
    </w:p>
    <w:p>
      <w:pPr>
        <w:widowControl/>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附件九：</w:t>
      </w:r>
    </w:p>
    <w:p>
      <w:pPr>
        <w:widowControl/>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服务方案</w:t>
      </w:r>
    </w:p>
    <w:p>
      <w:pPr>
        <w:widowControl/>
        <w:jc w:val="left"/>
        <w:rPr>
          <w:rFonts w:asciiTheme="minorEastAsia" w:hAnsiTheme="minorEastAsia" w:eastAsiaTheme="minorEastAsia" w:cstheme="minorEastAsia"/>
          <w:bCs/>
          <w:sz w:val="24"/>
        </w:rPr>
      </w:pPr>
    </w:p>
    <w:p>
      <w:pPr>
        <w:widowControl/>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格式可自行编写</w:t>
      </w:r>
    </w:p>
    <w:p>
      <w:pPr>
        <w:widowControl/>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  </w:t>
      </w:r>
    </w:p>
    <w:p>
      <w:pPr>
        <w:pStyle w:val="2"/>
        <w:spacing w:line="240" w:lineRule="auto"/>
        <w:jc w:val="center"/>
        <w:rPr>
          <w:rFonts w:asciiTheme="minorEastAsia" w:hAnsiTheme="minorEastAsia" w:eastAsiaTheme="minorEastAsia" w:cstheme="minorEastAsia"/>
          <w:sz w:val="24"/>
          <w:szCs w:val="24"/>
        </w:rPr>
      </w:pPr>
      <w:bookmarkStart w:id="163" w:name="_Toc32614"/>
    </w:p>
    <w:p>
      <w:pPr>
        <w:pStyle w:val="2"/>
        <w:spacing w:line="240" w:lineRule="auto"/>
        <w:jc w:val="center"/>
        <w:rPr>
          <w:rFonts w:asciiTheme="minorEastAsia" w:hAnsiTheme="minorEastAsia" w:eastAsiaTheme="minorEastAsia" w:cstheme="minorEastAsia"/>
          <w:sz w:val="24"/>
          <w:szCs w:val="24"/>
        </w:rPr>
      </w:pPr>
    </w:p>
    <w:p>
      <w:pPr>
        <w:pStyle w:val="2"/>
        <w:spacing w:line="240" w:lineRule="auto"/>
        <w:jc w:val="center"/>
        <w:rPr>
          <w:rFonts w:asciiTheme="minorEastAsia" w:hAnsiTheme="minorEastAsia" w:eastAsiaTheme="minorEastAsia" w:cstheme="minorEastAsia"/>
          <w:sz w:val="24"/>
          <w:szCs w:val="24"/>
        </w:rPr>
      </w:pPr>
    </w:p>
    <w:p>
      <w:pPr>
        <w:pStyle w:val="2"/>
        <w:spacing w:line="240" w:lineRule="auto"/>
        <w:jc w:val="cente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24"/>
        <w:ind w:left="420" w:firstLine="240"/>
        <w:rPr>
          <w:rFonts w:asciiTheme="minorEastAsia" w:hAnsiTheme="minorEastAsia" w:eastAsiaTheme="minorEastAsia" w:cstheme="minorEastAsia"/>
          <w:sz w:val="24"/>
        </w:rPr>
      </w:pPr>
    </w:p>
    <w:p>
      <w:pPr>
        <w:pStyle w:val="24"/>
        <w:ind w:left="420" w:firstLine="240"/>
        <w:rPr>
          <w:rFonts w:asciiTheme="minorEastAsia" w:hAnsiTheme="minorEastAsia" w:eastAsiaTheme="minorEastAsia" w:cstheme="minorEastAsia"/>
          <w:sz w:val="24"/>
        </w:rPr>
      </w:pPr>
    </w:p>
    <w:p>
      <w:pPr>
        <w:widowControl/>
        <w:jc w:val="left"/>
        <w:rPr>
          <w:rFonts w:asciiTheme="minorEastAsia" w:hAnsiTheme="minorEastAsia" w:eastAsiaTheme="minorEastAsia" w:cstheme="minorEastAsia"/>
          <w:bCs/>
          <w:sz w:val="24"/>
        </w:rPr>
      </w:pPr>
    </w:p>
    <w:p>
      <w:pPr>
        <w:widowControl/>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附件十：</w:t>
      </w:r>
    </w:p>
    <w:p>
      <w:pPr>
        <w:pStyle w:val="14"/>
        <w:ind w:firstLine="0"/>
        <w:jc w:val="center"/>
        <w:rPr>
          <w:rFonts w:asciiTheme="minorEastAsia" w:hAnsiTheme="minorEastAsia" w:eastAsiaTheme="minorEastAsia" w:cstheme="minorEastAsia"/>
          <w:b/>
          <w:bCs/>
          <w:sz w:val="24"/>
        </w:rPr>
      </w:pPr>
      <w:bookmarkStart w:id="164" w:name="_Toc222"/>
      <w:bookmarkStart w:id="165" w:name="_Toc22084"/>
      <w:r>
        <w:rPr>
          <w:rFonts w:hint="eastAsia" w:asciiTheme="minorEastAsia" w:hAnsiTheme="minorEastAsia" w:eastAsiaTheme="minorEastAsia" w:cstheme="minorEastAsia"/>
          <w:b/>
          <w:bCs/>
          <w:sz w:val="24"/>
        </w:rPr>
        <w:t>售后服务承诺</w:t>
      </w:r>
      <w:bookmarkEnd w:id="164"/>
      <w:bookmarkEnd w:id="165"/>
    </w:p>
    <w:p>
      <w:pPr>
        <w:pStyle w:val="14"/>
        <w:spacing w:beforeLines="50" w:line="480" w:lineRule="auto"/>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......主要内容应包含但不限于以下内容（格式自定）</w:t>
      </w:r>
    </w:p>
    <w:p>
      <w:pPr>
        <w:pStyle w:val="14"/>
        <w:numPr>
          <w:ilvl w:val="0"/>
          <w:numId w:val="15"/>
        </w:numPr>
        <w:spacing w:beforeLines="50" w:line="480" w:lineRule="auto"/>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其他服务承诺</w:t>
      </w:r>
    </w:p>
    <w:p>
      <w:pPr>
        <w:pStyle w:val="14"/>
        <w:spacing w:beforeLines="50" w:line="480" w:lineRule="auto"/>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pStyle w:val="14"/>
        <w:spacing w:beforeLines="50"/>
        <w:ind w:firstLine="0"/>
        <w:rPr>
          <w:rFonts w:asciiTheme="minorEastAsia" w:hAnsiTheme="minorEastAsia" w:eastAsiaTheme="minorEastAsia" w:cstheme="minorEastAsia"/>
          <w:sz w:val="24"/>
        </w:rPr>
      </w:pPr>
    </w:p>
    <w:p>
      <w:pPr>
        <w:pStyle w:val="14"/>
        <w:spacing w:beforeLines="50"/>
        <w:ind w:firstLine="0"/>
        <w:rPr>
          <w:rFonts w:asciiTheme="minorEastAsia" w:hAnsiTheme="minorEastAsia" w:eastAsiaTheme="minorEastAsia" w:cstheme="minorEastAsia"/>
          <w:sz w:val="24"/>
        </w:rPr>
      </w:pPr>
    </w:p>
    <w:p>
      <w:pPr>
        <w:pStyle w:val="14"/>
        <w:spacing w:beforeLines="50"/>
        <w:ind w:firstLine="0"/>
        <w:rPr>
          <w:rFonts w:asciiTheme="minorEastAsia" w:hAnsiTheme="minorEastAsia" w:eastAsiaTheme="minorEastAsia" w:cstheme="minorEastAsia"/>
          <w:sz w:val="24"/>
        </w:rPr>
      </w:pPr>
    </w:p>
    <w:p>
      <w:pPr>
        <w:pStyle w:val="14"/>
        <w:spacing w:beforeLines="50"/>
        <w:ind w:firstLine="0"/>
        <w:rPr>
          <w:rFonts w:asciiTheme="minorEastAsia" w:hAnsiTheme="minorEastAsia" w:eastAsiaTheme="minorEastAsia" w:cstheme="minorEastAsia"/>
          <w:sz w:val="24"/>
        </w:rPr>
      </w:pPr>
    </w:p>
    <w:p>
      <w:pPr>
        <w:pStyle w:val="14"/>
        <w:spacing w:beforeLines="50"/>
        <w:ind w:firstLine="0"/>
        <w:rPr>
          <w:rFonts w:asciiTheme="minorEastAsia" w:hAnsiTheme="minorEastAsia" w:eastAsiaTheme="minorEastAsia" w:cstheme="minorEastAsia"/>
          <w:sz w:val="24"/>
        </w:rPr>
      </w:pPr>
    </w:p>
    <w:p>
      <w:pPr>
        <w:pStyle w:val="14"/>
        <w:spacing w:beforeLines="50"/>
        <w:ind w:firstLine="0"/>
        <w:rPr>
          <w:rFonts w:asciiTheme="minorEastAsia" w:hAnsiTheme="minorEastAsia" w:eastAsiaTheme="minorEastAsia" w:cstheme="minorEastAsia"/>
          <w:sz w:val="24"/>
        </w:rPr>
      </w:pPr>
    </w:p>
    <w:p>
      <w:pPr>
        <w:pStyle w:val="14"/>
        <w:spacing w:beforeLines="50"/>
        <w:ind w:firstLine="0"/>
        <w:rPr>
          <w:rFonts w:asciiTheme="minorEastAsia" w:hAnsiTheme="minorEastAsia" w:eastAsiaTheme="minorEastAsia" w:cstheme="minorEastAsia"/>
          <w:sz w:val="24"/>
        </w:rPr>
      </w:pPr>
    </w:p>
    <w:p>
      <w:pPr>
        <w:spacing w:line="360" w:lineRule="auto"/>
        <w:ind w:firstLine="540"/>
        <w:jc w:val="left"/>
        <w:rPr>
          <w:rFonts w:asciiTheme="minorEastAsia" w:hAnsiTheme="minorEastAsia" w:eastAsiaTheme="minorEastAsia" w:cstheme="minorEastAsia"/>
          <w:sz w:val="24"/>
        </w:rPr>
      </w:pPr>
    </w:p>
    <w:p>
      <w:pPr>
        <w:pStyle w:val="24"/>
        <w:ind w:left="420" w:firstLine="240"/>
        <w:rPr>
          <w:rFonts w:asciiTheme="minorEastAsia" w:hAnsiTheme="minorEastAsia" w:eastAsiaTheme="minorEastAsia" w:cstheme="minorEastAsia"/>
          <w:sz w:val="24"/>
        </w:rPr>
      </w:pPr>
    </w:p>
    <w:p>
      <w:pPr>
        <w:pStyle w:val="24"/>
        <w:ind w:left="420" w:firstLine="240"/>
        <w:rPr>
          <w:rFonts w:asciiTheme="minorEastAsia" w:hAnsiTheme="minorEastAsia" w:eastAsiaTheme="minorEastAsia" w:cstheme="minorEastAsia"/>
          <w:sz w:val="24"/>
        </w:rPr>
      </w:pPr>
    </w:p>
    <w:p>
      <w:pPr>
        <w:pStyle w:val="24"/>
        <w:ind w:left="420" w:firstLine="240"/>
        <w:rPr>
          <w:rFonts w:asciiTheme="minorEastAsia" w:hAnsiTheme="minorEastAsia" w:eastAsiaTheme="minorEastAsia" w:cstheme="minorEastAsia"/>
          <w:sz w:val="24"/>
        </w:rPr>
      </w:pPr>
    </w:p>
    <w:p>
      <w:pPr>
        <w:pStyle w:val="24"/>
        <w:ind w:left="420" w:firstLine="240"/>
        <w:rPr>
          <w:rFonts w:asciiTheme="minorEastAsia" w:hAnsiTheme="minorEastAsia" w:eastAsiaTheme="minorEastAsia" w:cstheme="minorEastAsia"/>
          <w:sz w:val="24"/>
        </w:rPr>
      </w:pPr>
    </w:p>
    <w:p>
      <w:pPr>
        <w:pStyle w:val="24"/>
        <w:ind w:left="420" w:firstLine="240"/>
        <w:rPr>
          <w:rFonts w:asciiTheme="minorEastAsia" w:hAnsiTheme="minorEastAsia" w:eastAsiaTheme="minorEastAsia" w:cstheme="minorEastAsia"/>
          <w:sz w:val="24"/>
        </w:rPr>
      </w:pPr>
    </w:p>
    <w:p>
      <w:pPr>
        <w:pStyle w:val="24"/>
        <w:ind w:left="420" w:firstLine="240"/>
        <w:rPr>
          <w:rFonts w:asciiTheme="minorEastAsia" w:hAnsiTheme="minorEastAsia" w:eastAsiaTheme="minorEastAsia" w:cstheme="minorEastAsia"/>
          <w:sz w:val="24"/>
        </w:rPr>
      </w:pPr>
    </w:p>
    <w:p>
      <w:pPr>
        <w:pStyle w:val="24"/>
        <w:ind w:left="420" w:firstLine="240"/>
        <w:rPr>
          <w:rFonts w:asciiTheme="minorEastAsia" w:hAnsiTheme="minorEastAsia" w:eastAsiaTheme="minorEastAsia" w:cstheme="minorEastAsia"/>
          <w:sz w:val="24"/>
        </w:rPr>
      </w:pPr>
    </w:p>
    <w:p>
      <w:pPr>
        <w:pStyle w:val="7"/>
        <w:spacing w:line="360" w:lineRule="auto"/>
        <w:ind w:firstLine="0" w:firstLineChars="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附件十一：</w:t>
      </w:r>
    </w:p>
    <w:p>
      <w:pPr>
        <w:spacing w:line="48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投标人基本情况表</w:t>
      </w:r>
    </w:p>
    <w:p>
      <w:pPr>
        <w:spacing w:line="480" w:lineRule="exact"/>
        <w:jc w:val="center"/>
        <w:rPr>
          <w:rFonts w:asciiTheme="minorEastAsia" w:hAnsiTheme="minorEastAsia" w:eastAsiaTheme="minorEastAsia" w:cstheme="minorEastAsia"/>
          <w:b/>
          <w:sz w:val="24"/>
        </w:rPr>
      </w:pPr>
    </w:p>
    <w:tbl>
      <w:tblPr>
        <w:tblStyle w:val="25"/>
        <w:tblW w:w="8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785"/>
        <w:gridCol w:w="2181"/>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tc>
        <w:tc>
          <w:tcPr>
            <w:tcW w:w="1785" w:type="dxa"/>
            <w:vAlign w:val="center"/>
          </w:tcPr>
          <w:p>
            <w:pPr>
              <w:jc w:val="center"/>
              <w:rPr>
                <w:rFonts w:asciiTheme="minorEastAsia" w:hAnsiTheme="minorEastAsia" w:eastAsiaTheme="minorEastAsia" w:cstheme="minorEastAsia"/>
                <w:sz w:val="24"/>
              </w:rPr>
            </w:pPr>
          </w:p>
        </w:tc>
        <w:tc>
          <w:tcPr>
            <w:tcW w:w="218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主要业务</w:t>
            </w:r>
          </w:p>
        </w:tc>
        <w:tc>
          <w:tcPr>
            <w:tcW w:w="246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注册资金</w:t>
            </w:r>
          </w:p>
        </w:tc>
        <w:tc>
          <w:tcPr>
            <w:tcW w:w="1785" w:type="dxa"/>
            <w:vAlign w:val="center"/>
          </w:tcPr>
          <w:p>
            <w:pPr>
              <w:jc w:val="center"/>
              <w:rPr>
                <w:rFonts w:asciiTheme="minorEastAsia" w:hAnsiTheme="minorEastAsia" w:eastAsiaTheme="minorEastAsia" w:cstheme="minorEastAsia"/>
                <w:bCs/>
                <w:sz w:val="24"/>
              </w:rPr>
            </w:pPr>
          </w:p>
        </w:tc>
        <w:tc>
          <w:tcPr>
            <w:tcW w:w="2181"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现有职工人数</w:t>
            </w:r>
          </w:p>
        </w:tc>
        <w:tc>
          <w:tcPr>
            <w:tcW w:w="246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行政管理人数</w:t>
            </w:r>
          </w:p>
        </w:tc>
        <w:tc>
          <w:tcPr>
            <w:tcW w:w="1785" w:type="dxa"/>
            <w:vAlign w:val="center"/>
          </w:tcPr>
          <w:p>
            <w:pPr>
              <w:jc w:val="center"/>
              <w:rPr>
                <w:rFonts w:asciiTheme="minorEastAsia" w:hAnsiTheme="minorEastAsia" w:eastAsiaTheme="minorEastAsia" w:cstheme="minorEastAsia"/>
                <w:bCs/>
                <w:sz w:val="24"/>
              </w:rPr>
            </w:pPr>
          </w:p>
        </w:tc>
        <w:tc>
          <w:tcPr>
            <w:tcW w:w="2181"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技术人员人数</w:t>
            </w:r>
          </w:p>
        </w:tc>
        <w:tc>
          <w:tcPr>
            <w:tcW w:w="246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营业执照</w:t>
            </w:r>
          </w:p>
        </w:tc>
        <w:tc>
          <w:tcPr>
            <w:tcW w:w="6435" w:type="dxa"/>
            <w:gridSpan w:val="3"/>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单位资质</w:t>
            </w:r>
          </w:p>
        </w:tc>
        <w:tc>
          <w:tcPr>
            <w:tcW w:w="6435" w:type="dxa"/>
            <w:gridSpan w:val="3"/>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1.执照编号   2.资质等级   3.发证部门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单位注册地址</w:t>
            </w:r>
          </w:p>
        </w:tc>
        <w:tc>
          <w:tcPr>
            <w:tcW w:w="1785" w:type="dxa"/>
            <w:vAlign w:val="center"/>
          </w:tcPr>
          <w:p>
            <w:pPr>
              <w:jc w:val="center"/>
              <w:rPr>
                <w:rFonts w:asciiTheme="minorEastAsia" w:hAnsiTheme="minorEastAsia" w:eastAsiaTheme="minorEastAsia" w:cstheme="minorEastAsia"/>
                <w:bCs/>
                <w:sz w:val="24"/>
              </w:rPr>
            </w:pPr>
          </w:p>
        </w:tc>
        <w:tc>
          <w:tcPr>
            <w:tcW w:w="2181"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单位联络方式</w:t>
            </w:r>
          </w:p>
        </w:tc>
        <w:tc>
          <w:tcPr>
            <w:tcW w:w="2469"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单位成立时间</w:t>
            </w:r>
          </w:p>
        </w:tc>
        <w:tc>
          <w:tcPr>
            <w:tcW w:w="6435" w:type="dxa"/>
            <w:gridSpan w:val="3"/>
            <w:vAlign w:val="center"/>
          </w:tcPr>
          <w:p>
            <w:pPr>
              <w:jc w:val="center"/>
              <w:rPr>
                <w:rFonts w:asciiTheme="minorEastAsia" w:hAnsiTheme="minorEastAsia" w:eastAsiaTheme="minorEastAsia" w:cstheme="minorEastAsia"/>
                <w:bCs/>
                <w:sz w:val="24"/>
              </w:rPr>
            </w:pPr>
          </w:p>
        </w:tc>
      </w:tr>
    </w:tbl>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说明：1、该表填写必须清楚，准确无误，真实有效；</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2、对本表中任何内容的修改，必须加盖公章予以确认；</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3、该表后附有效的营业执照、税务登记证、组织机构代码证（或三证合一的营业执照）复印件（加盖公章），相关行业资格资质证明等复印件（加盖公章）。</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 （公章）：</w:t>
      </w:r>
    </w:p>
    <w:p>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法定代表人或投标人全权代表：（签字或盖章）</w:t>
      </w:r>
    </w:p>
    <w:p>
      <w:pPr>
        <w:spacing w:line="440" w:lineRule="exact"/>
        <w:ind w:firstLine="240" w:firstLineChars="100"/>
        <w:jc w:val="right"/>
        <w:rPr>
          <w:rFonts w:asciiTheme="minorEastAsia" w:hAnsiTheme="minorEastAsia" w:eastAsiaTheme="minorEastAsia" w:cstheme="minorEastAsia"/>
          <w:sz w:val="24"/>
        </w:rPr>
      </w:pPr>
    </w:p>
    <w:p>
      <w:pPr>
        <w:spacing w:line="440" w:lineRule="exact"/>
        <w:ind w:firstLine="240" w:firstLineChars="1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spacing w:line="360" w:lineRule="auto"/>
        <w:jc w:val="left"/>
        <w:rPr>
          <w:rFonts w:asciiTheme="minorEastAsia" w:hAnsiTheme="minorEastAsia" w:eastAsiaTheme="minorEastAsia" w:cstheme="minorEastAsia"/>
          <w:sz w:val="24"/>
        </w:rPr>
      </w:pPr>
    </w:p>
    <w:p>
      <w:pPr>
        <w:widowControl/>
        <w:jc w:val="left"/>
        <w:rPr>
          <w:rFonts w:asciiTheme="minorEastAsia" w:hAnsiTheme="minorEastAsia" w:eastAsiaTheme="minorEastAsia" w:cstheme="minorEastAsia"/>
          <w:bCs/>
          <w:sz w:val="24"/>
        </w:rPr>
      </w:pPr>
    </w:p>
    <w:p>
      <w:pPr>
        <w:widowControl/>
        <w:jc w:val="left"/>
        <w:rPr>
          <w:rFonts w:asciiTheme="minorEastAsia" w:hAnsiTheme="minorEastAsia" w:eastAsiaTheme="minorEastAsia" w:cstheme="minorEastAsia"/>
          <w:bCs/>
          <w:sz w:val="24"/>
        </w:rPr>
      </w:pPr>
    </w:p>
    <w:p>
      <w:pPr>
        <w:widowControl/>
        <w:jc w:val="left"/>
        <w:rPr>
          <w:rFonts w:asciiTheme="minorEastAsia" w:hAnsiTheme="minorEastAsia" w:eastAsiaTheme="minorEastAsia" w:cstheme="minorEastAsia"/>
          <w:bCs/>
          <w:sz w:val="24"/>
        </w:rPr>
      </w:pPr>
    </w:p>
    <w:bookmarkEnd w:id="163"/>
    <w:p>
      <w:pPr>
        <w:spacing w:line="380" w:lineRule="exact"/>
        <w:jc w:val="left"/>
        <w:rPr>
          <w:rFonts w:asciiTheme="minorEastAsia" w:hAnsiTheme="minorEastAsia" w:eastAsiaTheme="minorEastAsia" w:cstheme="minorEastAsia"/>
          <w:sz w:val="24"/>
        </w:rPr>
      </w:pPr>
      <w:bookmarkStart w:id="166" w:name="_Toc9840"/>
      <w:bookmarkStart w:id="167" w:name="_Toc5063"/>
      <w:r>
        <w:rPr>
          <w:rFonts w:hint="eastAsia" w:asciiTheme="minorEastAsia" w:hAnsiTheme="minorEastAsia" w:eastAsiaTheme="minorEastAsia" w:cstheme="minorEastAsia"/>
          <w:sz w:val="24"/>
        </w:rPr>
        <w:t>附件十三：</w:t>
      </w:r>
      <w:bookmarkEnd w:id="166"/>
    </w:p>
    <w:p>
      <w:pPr>
        <w:spacing w:line="380" w:lineRule="exact"/>
        <w:jc w:val="center"/>
        <w:rPr>
          <w:rFonts w:asciiTheme="minorEastAsia" w:hAnsiTheme="minorEastAsia" w:eastAsiaTheme="minorEastAsia" w:cstheme="minorEastAsia"/>
          <w:b/>
          <w:bCs/>
          <w:sz w:val="24"/>
        </w:rPr>
      </w:pPr>
      <w:bookmarkStart w:id="168" w:name="_Toc19413"/>
      <w:r>
        <w:rPr>
          <w:rFonts w:hint="eastAsia" w:asciiTheme="minorEastAsia" w:hAnsiTheme="minorEastAsia" w:eastAsiaTheme="minorEastAsia" w:cstheme="minorEastAsia"/>
          <w:b/>
          <w:bCs/>
          <w:sz w:val="24"/>
        </w:rPr>
        <w:t>一、中小企业声明函</w:t>
      </w:r>
      <w:bookmarkEnd w:id="167"/>
      <w:bookmarkEnd w:id="168"/>
      <w:r>
        <w:rPr>
          <w:rFonts w:hint="eastAsia" w:asciiTheme="minorEastAsia" w:hAnsiTheme="minorEastAsia" w:eastAsiaTheme="minorEastAsia" w:cstheme="minorEastAsia"/>
          <w:b/>
          <w:bCs/>
          <w:sz w:val="24"/>
        </w:rPr>
        <w:t>（如有）</w:t>
      </w:r>
    </w:p>
    <w:p>
      <w:pPr>
        <w:pStyle w:val="21"/>
        <w:shd w:val="clear" w:color="auto" w:fill="FFFFFF"/>
        <w:spacing w:line="56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　　本公司郑重声明，根据《政府采购促进中小企业发展暂行办法》（财库〔2011〕181号）的规定，本公司为______（请填写：中型、小型、微型）企业。即，本公司同时满足以下条件：</w:t>
      </w:r>
      <w:r>
        <w:rPr>
          <w:rFonts w:hint="eastAsia" w:asciiTheme="minorEastAsia" w:hAnsiTheme="minorEastAsia" w:eastAsiaTheme="minorEastAsia" w:cstheme="minorEastAsia"/>
          <w:shd w:val="clear" w:color="auto" w:fill="FFFFFF"/>
        </w:rPr>
        <w:br w:type="textWrapping"/>
      </w:r>
      <w:r>
        <w:rPr>
          <w:rFonts w:hint="eastAsia" w:asciiTheme="minorEastAsia" w:hAnsiTheme="minorEastAsia" w:eastAsiaTheme="minorEastAsia" w:cstheme="minorEastAsia"/>
          <w:shd w:val="clear" w:color="auto" w:fill="FFFFFF"/>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inorEastAsia" w:hAnsiTheme="minorEastAsia" w:eastAsiaTheme="minorEastAsia" w:cstheme="minorEastAsia"/>
          <w:shd w:val="clear" w:color="auto" w:fill="FFFFFF"/>
        </w:rPr>
        <w:br w:type="textWrapping"/>
      </w:r>
      <w:r>
        <w:rPr>
          <w:rFonts w:hint="eastAsia" w:asciiTheme="minorEastAsia" w:hAnsiTheme="minorEastAsia" w:eastAsiaTheme="minorEastAsia" w:cstheme="minorEastAsia"/>
          <w:shd w:val="clear" w:color="auto" w:fill="FFFFFF"/>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21"/>
        <w:numPr>
          <w:ilvl w:val="0"/>
          <w:numId w:val="16"/>
        </w:numPr>
        <w:shd w:val="clear" w:color="auto" w:fill="FFFFFF"/>
        <w:spacing w:line="56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提交本声明函的投标人必须在投标文件中提供相应的证明材料并对材料的真实性负法律责任。证明材料包括：上一年度资产负债表、损益表；从业人员名单、身份证号及工资发放明细表上述证件原件缺一不可。　　</w:t>
      </w:r>
    </w:p>
    <w:p>
      <w:pPr>
        <w:pStyle w:val="21"/>
        <w:numPr>
          <w:ilvl w:val="0"/>
          <w:numId w:val="16"/>
        </w:numPr>
        <w:shd w:val="clear" w:color="auto" w:fill="FFFFFF"/>
        <w:spacing w:line="5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本公司对上述声明的真实性负责。如有虚假，将依法承担相应责任。</w:t>
      </w:r>
      <w:r>
        <w:rPr>
          <w:rFonts w:hint="eastAsia" w:asciiTheme="minorEastAsia" w:hAnsiTheme="minorEastAsia" w:eastAsiaTheme="minorEastAsia" w:cstheme="minorEastAsia"/>
          <w:shd w:val="clear" w:color="auto" w:fill="FFFFFF"/>
        </w:rPr>
        <w:br w:type="textWrapping"/>
      </w:r>
      <w:r>
        <w:rPr>
          <w:rFonts w:hint="eastAsia" w:asciiTheme="minorEastAsia" w:hAnsiTheme="minorEastAsia" w:eastAsiaTheme="minorEastAsia" w:cstheme="minorEastAsia"/>
          <w:shd w:val="clear" w:color="auto" w:fill="FFFFFF"/>
        </w:rPr>
        <w:t>　　企业名称（盖章）：</w:t>
      </w:r>
      <w:r>
        <w:rPr>
          <w:rFonts w:hint="eastAsia" w:asciiTheme="minorEastAsia" w:hAnsiTheme="minorEastAsia" w:eastAsiaTheme="minorEastAsia" w:cstheme="minorEastAsia"/>
          <w:shd w:val="clear" w:color="auto" w:fill="FFFFFF"/>
        </w:rPr>
        <w:br w:type="textWrapping"/>
      </w:r>
      <w:r>
        <w:rPr>
          <w:rFonts w:hint="eastAsia" w:asciiTheme="minorEastAsia" w:hAnsiTheme="minorEastAsia" w:eastAsiaTheme="minorEastAsia" w:cstheme="minorEastAsia"/>
          <w:shd w:val="clear" w:color="auto" w:fill="FFFFFF"/>
        </w:rPr>
        <w:t>　　日   期：　　</w:t>
      </w:r>
    </w:p>
    <w:p>
      <w:pPr>
        <w:pStyle w:val="34"/>
        <w:spacing w:line="520" w:lineRule="exact"/>
        <w:jc w:val="both"/>
        <w:rPr>
          <w:rFonts w:asciiTheme="minorEastAsia" w:hAnsiTheme="minorEastAsia" w:eastAsiaTheme="minorEastAsia" w:cstheme="minorEastAsia"/>
          <w:b/>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pStyle w:val="24"/>
        <w:ind w:left="420" w:firstLine="280"/>
      </w:pPr>
    </w:p>
    <w:p>
      <w:pPr>
        <w:spacing w:line="380" w:lineRule="exact"/>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bookmarkStart w:id="169" w:name="_Toc10287"/>
      <w:bookmarkStart w:id="170" w:name="_Toc31611"/>
      <w:bookmarkStart w:id="171" w:name="_Toc30423"/>
      <w:r>
        <w:rPr>
          <w:rFonts w:hint="eastAsia" w:asciiTheme="minorEastAsia" w:hAnsiTheme="minorEastAsia" w:eastAsiaTheme="minorEastAsia" w:cstheme="minorEastAsia"/>
          <w:sz w:val="24"/>
        </w:rPr>
        <w:t>二、环境标志产品明细表</w:t>
      </w:r>
      <w:bookmarkEnd w:id="169"/>
      <w:bookmarkEnd w:id="170"/>
      <w:bookmarkEnd w:id="171"/>
      <w:r>
        <w:rPr>
          <w:rFonts w:hint="eastAsia" w:asciiTheme="minorEastAsia" w:hAnsiTheme="minorEastAsia" w:eastAsiaTheme="minorEastAsia" w:cstheme="minorEastAsia"/>
          <w:kern w:val="1"/>
          <w:sz w:val="24"/>
        </w:rPr>
        <w:t>（如有）</w:t>
      </w:r>
    </w:p>
    <w:p>
      <w:pPr>
        <w:spacing w:line="196" w:lineRule="exact"/>
        <w:rPr>
          <w:rFonts w:asciiTheme="minorEastAsia" w:hAnsiTheme="minorEastAsia" w:eastAsiaTheme="minorEastAsia" w:cstheme="minorEastAsia"/>
          <w:sz w:val="24"/>
        </w:rPr>
      </w:pPr>
    </w:p>
    <w:p>
      <w:pPr>
        <w:spacing w:line="239"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r>
        <w:rPr>
          <w:rFonts w:hint="eastAsia" w:asciiTheme="minorEastAsia" w:hAnsiTheme="minorEastAsia" w:eastAsiaTheme="minorEastAsia" w:cstheme="minorEastAsia"/>
          <w:w w:val="98"/>
          <w:sz w:val="24"/>
        </w:rPr>
        <w:t xml:space="preserve">                           </w:t>
      </w:r>
      <w:r>
        <w:rPr>
          <w:rFonts w:hint="eastAsia" w:asciiTheme="minorEastAsia" w:hAnsiTheme="minorEastAsia" w:eastAsiaTheme="minorEastAsia" w:cstheme="minorEastAsia"/>
          <w:sz w:val="24"/>
        </w:rPr>
        <w:t>价格单位：元</w:t>
      </w:r>
    </w:p>
    <w:p>
      <w:pPr>
        <w:spacing w:line="97" w:lineRule="exact"/>
        <w:rPr>
          <w:rFonts w:asciiTheme="minorEastAsia" w:hAnsiTheme="minorEastAsia" w:eastAsiaTheme="minorEastAsia" w:cstheme="minorEastAsia"/>
          <w:sz w:val="24"/>
        </w:rPr>
      </w:pPr>
    </w:p>
    <w:tbl>
      <w:tblPr>
        <w:tblStyle w:val="25"/>
        <w:tblpPr w:leftFromText="180" w:rightFromText="180" w:vertAnchor="text" w:horzAnchor="page" w:tblpXSpec="center" w:tblpY="104"/>
        <w:tblOverlap w:val="never"/>
        <w:tblW w:w="8700" w:type="dxa"/>
        <w:jc w:val="center"/>
        <w:tblInd w:w="-11" w:type="dxa"/>
        <w:tblLayout w:type="fixed"/>
        <w:tblCellMar>
          <w:top w:w="0" w:type="dxa"/>
          <w:left w:w="0" w:type="dxa"/>
          <w:bottom w:w="0" w:type="dxa"/>
          <w:right w:w="0" w:type="dxa"/>
        </w:tblCellMar>
      </w:tblPr>
      <w:tblGrid>
        <w:gridCol w:w="777"/>
        <w:gridCol w:w="575"/>
        <w:gridCol w:w="1050"/>
        <w:gridCol w:w="873"/>
        <w:gridCol w:w="1131"/>
        <w:gridCol w:w="1145"/>
        <w:gridCol w:w="1001"/>
        <w:gridCol w:w="716"/>
        <w:gridCol w:w="716"/>
        <w:gridCol w:w="716"/>
      </w:tblGrid>
      <w:tr>
        <w:tblPrEx>
          <w:tblLayout w:type="fixed"/>
          <w:tblCellMar>
            <w:top w:w="0" w:type="dxa"/>
            <w:left w:w="0" w:type="dxa"/>
            <w:bottom w:w="0" w:type="dxa"/>
            <w:right w:w="0" w:type="dxa"/>
          </w:tblCellMar>
        </w:tblPrEx>
        <w:trPr>
          <w:trHeight w:val="837" w:hRule="atLeast"/>
          <w:jc w:val="center"/>
        </w:trPr>
        <w:tc>
          <w:tcPr>
            <w:tcW w:w="777" w:type="dxa"/>
            <w:vMerge w:val="restart"/>
            <w:tcBorders>
              <w:top w:val="single" w:color="auto" w:sz="8" w:space="0"/>
              <w:left w:val="single" w:color="auto" w:sz="8" w:space="0"/>
              <w:right w:val="single" w:color="auto" w:sz="8"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575" w:type="dxa"/>
            <w:vMerge w:val="restart"/>
            <w:tcBorders>
              <w:top w:val="single" w:color="auto" w:sz="8" w:space="0"/>
              <w:right w:val="single" w:color="auto" w:sz="8"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产品名称</w:t>
            </w:r>
          </w:p>
        </w:tc>
        <w:tc>
          <w:tcPr>
            <w:tcW w:w="1050" w:type="dxa"/>
            <w:vMerge w:val="restart"/>
            <w:tcBorders>
              <w:top w:val="single" w:color="auto" w:sz="8" w:space="0"/>
              <w:right w:val="single" w:color="auto" w:sz="8"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企业名称</w:t>
            </w:r>
          </w:p>
        </w:tc>
        <w:tc>
          <w:tcPr>
            <w:tcW w:w="873" w:type="dxa"/>
            <w:vMerge w:val="restart"/>
            <w:tcBorders>
              <w:top w:val="single" w:color="auto" w:sz="8" w:space="0"/>
              <w:right w:val="single" w:color="auto" w:sz="8"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1131" w:type="dxa"/>
            <w:vMerge w:val="restart"/>
            <w:tcBorders>
              <w:top w:val="single" w:color="auto" w:sz="8" w:space="0"/>
              <w:right w:val="single" w:color="auto" w:sz="8"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145" w:type="dxa"/>
            <w:vMerge w:val="restart"/>
            <w:tcBorders>
              <w:top w:val="single" w:color="auto" w:sz="8" w:space="0"/>
              <w:right w:val="single" w:color="auto" w:sz="8" w:space="0"/>
            </w:tcBorders>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中国环境标志认证证书编号</w:t>
            </w:r>
          </w:p>
        </w:tc>
        <w:tc>
          <w:tcPr>
            <w:tcW w:w="1001" w:type="dxa"/>
            <w:vMerge w:val="restart"/>
            <w:tcBorders>
              <w:top w:val="single" w:color="auto" w:sz="8" w:space="0"/>
              <w:right w:val="single" w:color="auto" w:sz="8"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认证证书</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有效截止</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p>
        </w:tc>
        <w:tc>
          <w:tcPr>
            <w:tcW w:w="2148" w:type="dxa"/>
            <w:gridSpan w:val="3"/>
            <w:tcBorders>
              <w:top w:val="single" w:color="auto" w:sz="8" w:space="0"/>
              <w:bottom w:val="single" w:color="auto" w:sz="8" w:space="0"/>
              <w:right w:val="single" w:color="auto" w:sz="8"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w:t>
            </w:r>
          </w:p>
        </w:tc>
      </w:tr>
      <w:tr>
        <w:tblPrEx>
          <w:tblLayout w:type="fixed"/>
          <w:tblCellMar>
            <w:top w:w="0" w:type="dxa"/>
            <w:left w:w="0" w:type="dxa"/>
            <w:bottom w:w="0" w:type="dxa"/>
            <w:right w:w="0" w:type="dxa"/>
          </w:tblCellMar>
        </w:tblPrEx>
        <w:trPr>
          <w:trHeight w:val="570" w:hRule="atLeast"/>
          <w:jc w:val="center"/>
        </w:trPr>
        <w:tc>
          <w:tcPr>
            <w:tcW w:w="777" w:type="dxa"/>
            <w:vMerge w:val="continue"/>
            <w:tcBorders>
              <w:left w:val="single" w:color="auto" w:sz="8" w:space="0"/>
              <w:bottom w:val="single" w:color="auto" w:sz="4" w:space="0"/>
              <w:right w:val="single" w:color="auto" w:sz="8" w:space="0"/>
            </w:tcBorders>
            <w:vAlign w:val="center"/>
          </w:tcPr>
          <w:p>
            <w:pPr>
              <w:spacing w:line="360" w:lineRule="auto"/>
              <w:rPr>
                <w:rFonts w:asciiTheme="minorEastAsia" w:hAnsiTheme="minorEastAsia" w:eastAsiaTheme="minorEastAsia" w:cstheme="minorEastAsia"/>
                <w:sz w:val="24"/>
              </w:rPr>
            </w:pPr>
          </w:p>
        </w:tc>
        <w:tc>
          <w:tcPr>
            <w:tcW w:w="575" w:type="dxa"/>
            <w:vMerge w:val="continue"/>
            <w:tcBorders>
              <w:bottom w:val="single" w:color="auto" w:sz="4" w:space="0"/>
              <w:right w:val="single" w:color="auto" w:sz="8" w:space="0"/>
            </w:tcBorders>
            <w:vAlign w:val="center"/>
          </w:tcPr>
          <w:p>
            <w:pPr>
              <w:spacing w:line="360" w:lineRule="auto"/>
              <w:rPr>
                <w:rFonts w:asciiTheme="minorEastAsia" w:hAnsiTheme="minorEastAsia" w:eastAsiaTheme="minorEastAsia" w:cstheme="minorEastAsia"/>
                <w:sz w:val="24"/>
              </w:rPr>
            </w:pPr>
          </w:p>
        </w:tc>
        <w:tc>
          <w:tcPr>
            <w:tcW w:w="1050" w:type="dxa"/>
            <w:vMerge w:val="continue"/>
            <w:tcBorders>
              <w:bottom w:val="single" w:color="auto" w:sz="4" w:space="0"/>
              <w:right w:val="single" w:color="auto" w:sz="8" w:space="0"/>
            </w:tcBorders>
            <w:vAlign w:val="center"/>
          </w:tcPr>
          <w:p>
            <w:pPr>
              <w:spacing w:line="360" w:lineRule="auto"/>
              <w:rPr>
                <w:rFonts w:asciiTheme="minorEastAsia" w:hAnsiTheme="minorEastAsia" w:eastAsiaTheme="minorEastAsia" w:cstheme="minorEastAsia"/>
                <w:sz w:val="24"/>
              </w:rPr>
            </w:pPr>
          </w:p>
        </w:tc>
        <w:tc>
          <w:tcPr>
            <w:tcW w:w="873" w:type="dxa"/>
            <w:vMerge w:val="continue"/>
            <w:tcBorders>
              <w:bottom w:val="single" w:color="auto" w:sz="4" w:space="0"/>
              <w:right w:val="single" w:color="auto" w:sz="8" w:space="0"/>
            </w:tcBorders>
            <w:vAlign w:val="center"/>
          </w:tcPr>
          <w:p>
            <w:pPr>
              <w:spacing w:line="360" w:lineRule="auto"/>
              <w:rPr>
                <w:rFonts w:asciiTheme="minorEastAsia" w:hAnsiTheme="minorEastAsia" w:eastAsiaTheme="minorEastAsia" w:cstheme="minorEastAsia"/>
                <w:sz w:val="24"/>
              </w:rPr>
            </w:pPr>
          </w:p>
        </w:tc>
        <w:tc>
          <w:tcPr>
            <w:tcW w:w="1131" w:type="dxa"/>
            <w:vMerge w:val="continue"/>
            <w:tcBorders>
              <w:bottom w:val="single" w:color="auto" w:sz="4" w:space="0"/>
              <w:right w:val="single" w:color="auto" w:sz="8" w:space="0"/>
            </w:tcBorders>
            <w:vAlign w:val="center"/>
          </w:tcPr>
          <w:p>
            <w:pPr>
              <w:spacing w:line="360" w:lineRule="auto"/>
              <w:rPr>
                <w:rFonts w:asciiTheme="minorEastAsia" w:hAnsiTheme="minorEastAsia" w:eastAsiaTheme="minorEastAsia" w:cstheme="minorEastAsia"/>
                <w:sz w:val="24"/>
              </w:rPr>
            </w:pPr>
          </w:p>
        </w:tc>
        <w:tc>
          <w:tcPr>
            <w:tcW w:w="1145" w:type="dxa"/>
            <w:vMerge w:val="continue"/>
            <w:tcBorders>
              <w:bottom w:val="single" w:color="auto" w:sz="4" w:space="0"/>
              <w:right w:val="single" w:color="auto" w:sz="8" w:space="0"/>
            </w:tcBorders>
            <w:vAlign w:val="center"/>
          </w:tcPr>
          <w:p>
            <w:pPr>
              <w:spacing w:line="360" w:lineRule="auto"/>
              <w:rPr>
                <w:rFonts w:asciiTheme="minorEastAsia" w:hAnsiTheme="minorEastAsia" w:eastAsiaTheme="minorEastAsia" w:cstheme="minorEastAsia"/>
                <w:sz w:val="24"/>
              </w:rPr>
            </w:pPr>
          </w:p>
        </w:tc>
        <w:tc>
          <w:tcPr>
            <w:tcW w:w="1001" w:type="dxa"/>
            <w:vMerge w:val="continue"/>
            <w:tcBorders>
              <w:bottom w:val="single" w:color="auto" w:sz="4" w:space="0"/>
              <w:right w:val="single" w:color="auto" w:sz="8" w:space="0"/>
            </w:tcBorders>
            <w:vAlign w:val="center"/>
          </w:tcPr>
          <w:p>
            <w:pPr>
              <w:spacing w:line="360" w:lineRule="auto"/>
              <w:rPr>
                <w:rFonts w:asciiTheme="minorEastAsia" w:hAnsiTheme="minorEastAsia" w:eastAsiaTheme="minorEastAsia" w:cstheme="minorEastAsia"/>
                <w:sz w:val="24"/>
              </w:rPr>
            </w:pPr>
          </w:p>
        </w:tc>
        <w:tc>
          <w:tcPr>
            <w:tcW w:w="716" w:type="dxa"/>
            <w:tcBorders>
              <w:bottom w:val="single" w:color="auto" w:sz="4" w:space="0"/>
              <w:right w:val="single" w:color="auto" w:sz="8" w:space="0"/>
            </w:tcBorders>
            <w:vAlign w:val="center"/>
          </w:tcPr>
          <w:p>
            <w:pPr>
              <w:spacing w:line="360" w:lineRule="auto"/>
              <w:ind w:left="2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716" w:type="dxa"/>
            <w:tcBorders>
              <w:bottom w:val="single" w:color="auto" w:sz="4" w:space="0"/>
              <w:right w:val="single" w:color="auto" w:sz="8" w:space="0"/>
            </w:tcBorders>
            <w:vAlign w:val="center"/>
          </w:tcPr>
          <w:p>
            <w:pPr>
              <w:spacing w:line="360" w:lineRule="auto"/>
              <w:ind w:left="2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716" w:type="dxa"/>
            <w:tcBorders>
              <w:bottom w:val="single" w:color="auto" w:sz="4" w:space="0"/>
              <w:right w:val="single" w:color="auto" w:sz="8" w:space="0"/>
            </w:tcBorders>
            <w:vAlign w:val="center"/>
          </w:tcPr>
          <w:p>
            <w:pPr>
              <w:spacing w:line="360" w:lineRule="auto"/>
              <w:ind w:left="2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小计</w:t>
            </w:r>
          </w:p>
        </w:tc>
      </w:tr>
      <w:tr>
        <w:tblPrEx>
          <w:tblLayout w:type="fixed"/>
          <w:tblCellMar>
            <w:top w:w="0" w:type="dxa"/>
            <w:left w:w="0" w:type="dxa"/>
            <w:bottom w:w="0" w:type="dxa"/>
            <w:right w:w="0" w:type="dxa"/>
          </w:tblCellMar>
        </w:tblPrEx>
        <w:trPr>
          <w:trHeight w:val="778" w:hRule="atLeast"/>
          <w:jc w:val="center"/>
        </w:trPr>
        <w:tc>
          <w:tcPr>
            <w:tcW w:w="777"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75"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050"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873"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131"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145"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001"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778" w:hRule="atLeast"/>
          <w:jc w:val="center"/>
        </w:trPr>
        <w:tc>
          <w:tcPr>
            <w:tcW w:w="777"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75"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050"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873"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131"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145"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001"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778" w:hRule="atLeast"/>
          <w:jc w:val="center"/>
        </w:trPr>
        <w:tc>
          <w:tcPr>
            <w:tcW w:w="777"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75"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050"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873"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131"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145"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001"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787" w:hRule="atLeast"/>
          <w:jc w:val="center"/>
        </w:trPr>
        <w:tc>
          <w:tcPr>
            <w:tcW w:w="777"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75"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050"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873"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131"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145"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1001" w:type="dxa"/>
            <w:tcBorders>
              <w:top w:val="single" w:color="auto" w:sz="4" w:space="0"/>
              <w:bottom w:val="single" w:color="auto" w:sz="4" w:space="0"/>
              <w:right w:val="single" w:color="auto" w:sz="8" w:space="0"/>
            </w:tcBorders>
            <w:vAlign w:val="bottom"/>
          </w:tcPr>
          <w:p>
            <w:pPr>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c>
          <w:tcPr>
            <w:tcW w:w="716" w:type="dxa"/>
            <w:tcBorders>
              <w:top w:val="single" w:color="auto" w:sz="4" w:space="0"/>
              <w:bottom w:val="single" w:color="auto" w:sz="4" w:space="0"/>
              <w:right w:val="single" w:color="auto" w:sz="8" w:space="0"/>
            </w:tcBorders>
            <w:vAlign w:val="bottom"/>
          </w:tcPr>
          <w:p>
            <w:pPr>
              <w:ind w:left="220"/>
              <w:rPr>
                <w:rFonts w:asciiTheme="minorEastAsia" w:hAnsiTheme="minorEastAsia" w:eastAsiaTheme="minorEastAsia" w:cstheme="minorEastAsia"/>
                <w:sz w:val="24"/>
              </w:rPr>
            </w:pPr>
          </w:p>
        </w:tc>
      </w:tr>
    </w:tbl>
    <w:p>
      <w:pPr>
        <w:spacing w:line="86" w:lineRule="exact"/>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pPr>
        <w:numPr>
          <w:ilvl w:val="0"/>
          <w:numId w:val="17"/>
        </w:num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环境标志产品根据财政部、环境保护部最新公布的环境标志产品政府采购清单确定。</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(附有效环保产品政府采购清单所在页复印件，评委按环保产品政府采购清单要求进行核查，未附复印件的不予认可)</w:t>
      </w:r>
    </w:p>
    <w:p>
      <w:pPr>
        <w:spacing w:line="360" w:lineRule="auto"/>
        <w:ind w:firstLine="480" w:firstLineChars="200"/>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2、如所投产品为环保产品，必须按规定格式逐项填写，否则评审时不予加分。</w:t>
      </w:r>
    </w:p>
    <w:p>
      <w:pPr>
        <w:tabs>
          <w:tab w:val="left" w:pos="6857"/>
        </w:tabs>
        <w:rPr>
          <w:rFonts w:asciiTheme="minorEastAsia" w:hAnsiTheme="minorEastAsia" w:eastAsiaTheme="minorEastAsia" w:cstheme="minorEastAsia"/>
          <w:sz w:val="24"/>
        </w:rPr>
      </w:pPr>
      <w:bookmarkStart w:id="172" w:name="_Toc9326"/>
    </w:p>
    <w:p>
      <w:pPr>
        <w:tabs>
          <w:tab w:val="left" w:pos="6857"/>
        </w:tabs>
        <w:rPr>
          <w:rFonts w:asciiTheme="minorEastAsia" w:hAnsiTheme="minorEastAsia" w:eastAsiaTheme="minorEastAsia" w:cstheme="minorEastAsia"/>
          <w:sz w:val="24"/>
        </w:rPr>
      </w:pPr>
    </w:p>
    <w:p>
      <w:pPr>
        <w:tabs>
          <w:tab w:val="left" w:pos="6857"/>
        </w:tabs>
        <w:ind w:firstLine="6480" w:firstLineChars="2700"/>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日</w:t>
      </w:r>
      <w:bookmarkEnd w:id="172"/>
    </w:p>
    <w:p>
      <w:pPr>
        <w:rPr>
          <w:rFonts w:asciiTheme="minorEastAsia" w:hAnsiTheme="minorEastAsia" w:eastAsiaTheme="minorEastAsia" w:cstheme="minorEastAsia"/>
          <w:kern w:val="1"/>
          <w:sz w:val="24"/>
        </w:rPr>
      </w:pPr>
    </w:p>
    <w:p>
      <w:pPr>
        <w:pStyle w:val="24"/>
        <w:ind w:left="0" w:leftChars="0" w:firstLine="0" w:firstLineChars="0"/>
        <w:rPr>
          <w:rFonts w:asciiTheme="minorEastAsia" w:hAnsiTheme="minorEastAsia" w:eastAsiaTheme="minorEastAsia" w:cstheme="minorEastAsia"/>
          <w:kern w:val="1"/>
          <w:sz w:val="24"/>
        </w:rPr>
      </w:pPr>
    </w:p>
    <w:p>
      <w:pPr>
        <w:ind w:firstLine="240" w:firstLineChars="100"/>
        <w:jc w:val="center"/>
        <w:rPr>
          <w:rFonts w:asciiTheme="minorEastAsia" w:hAnsiTheme="minorEastAsia" w:eastAsiaTheme="minorEastAsia" w:cstheme="minorEastAsia"/>
          <w:kern w:val="1"/>
          <w:sz w:val="24"/>
        </w:rPr>
      </w:pPr>
      <w:bookmarkStart w:id="173" w:name="_Toc441"/>
      <w:bookmarkStart w:id="174" w:name="_Toc15189"/>
      <w:bookmarkStart w:id="175" w:name="_Toc26394"/>
      <w:r>
        <w:rPr>
          <w:rFonts w:hint="eastAsia" w:asciiTheme="minorEastAsia" w:hAnsiTheme="minorEastAsia" w:eastAsiaTheme="minorEastAsia" w:cstheme="minorEastAsia"/>
          <w:kern w:val="1"/>
          <w:sz w:val="24"/>
        </w:rPr>
        <w:t>三、节能产品明细表</w:t>
      </w:r>
      <w:bookmarkEnd w:id="173"/>
      <w:bookmarkEnd w:id="174"/>
      <w:bookmarkEnd w:id="175"/>
      <w:r>
        <w:rPr>
          <w:rFonts w:hint="eastAsia" w:asciiTheme="minorEastAsia" w:hAnsiTheme="minorEastAsia" w:eastAsiaTheme="minorEastAsia" w:cstheme="minorEastAsia"/>
          <w:kern w:val="1"/>
          <w:sz w:val="24"/>
        </w:rPr>
        <w:t>（如有）</w:t>
      </w:r>
    </w:p>
    <w:p>
      <w:pPr>
        <w:spacing w:line="239"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                           价格单位：元</w:t>
      </w:r>
    </w:p>
    <w:tbl>
      <w:tblPr>
        <w:tblStyle w:val="25"/>
        <w:tblpPr w:leftFromText="180" w:rightFromText="180" w:vertAnchor="text" w:horzAnchor="page" w:tblpXSpec="center" w:tblpY="229"/>
        <w:tblOverlap w:val="never"/>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84"/>
        <w:gridCol w:w="872"/>
        <w:gridCol w:w="661"/>
        <w:gridCol w:w="992"/>
        <w:gridCol w:w="1022"/>
        <w:gridCol w:w="1537"/>
        <w:gridCol w:w="600"/>
        <w:gridCol w:w="68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572"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984"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产品名称</w:t>
            </w:r>
          </w:p>
        </w:tc>
        <w:tc>
          <w:tcPr>
            <w:tcW w:w="872"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w:t>
            </w:r>
          </w:p>
        </w:tc>
        <w:tc>
          <w:tcPr>
            <w:tcW w:w="661"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992"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产品型号</w:t>
            </w:r>
          </w:p>
        </w:tc>
        <w:tc>
          <w:tcPr>
            <w:tcW w:w="1022"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节能标志认证证书</w:t>
            </w:r>
          </w:p>
        </w:tc>
        <w:tc>
          <w:tcPr>
            <w:tcW w:w="1537"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节能产品认证证书有效截止日期</w:t>
            </w:r>
          </w:p>
        </w:tc>
        <w:tc>
          <w:tcPr>
            <w:tcW w:w="1840" w:type="dxa"/>
            <w:gridSpan w:val="3"/>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572" w:type="dxa"/>
            <w:vMerge w:val="continue"/>
          </w:tcPr>
          <w:p>
            <w:pPr>
              <w:spacing w:line="360" w:lineRule="auto"/>
              <w:jc w:val="center"/>
              <w:rPr>
                <w:rFonts w:asciiTheme="minorEastAsia" w:hAnsiTheme="minorEastAsia" w:eastAsiaTheme="minorEastAsia" w:cstheme="minorEastAsia"/>
                <w:sz w:val="24"/>
              </w:rPr>
            </w:pPr>
          </w:p>
        </w:tc>
        <w:tc>
          <w:tcPr>
            <w:tcW w:w="984" w:type="dxa"/>
            <w:vMerge w:val="continue"/>
          </w:tcPr>
          <w:p>
            <w:pPr>
              <w:spacing w:line="360" w:lineRule="auto"/>
              <w:jc w:val="center"/>
              <w:rPr>
                <w:rFonts w:asciiTheme="minorEastAsia" w:hAnsiTheme="minorEastAsia" w:eastAsiaTheme="minorEastAsia" w:cstheme="minorEastAsia"/>
                <w:sz w:val="24"/>
              </w:rPr>
            </w:pPr>
          </w:p>
        </w:tc>
        <w:tc>
          <w:tcPr>
            <w:tcW w:w="872" w:type="dxa"/>
            <w:vMerge w:val="continue"/>
          </w:tcPr>
          <w:p>
            <w:pPr>
              <w:spacing w:line="360" w:lineRule="auto"/>
              <w:jc w:val="center"/>
              <w:rPr>
                <w:rFonts w:asciiTheme="minorEastAsia" w:hAnsiTheme="minorEastAsia" w:eastAsiaTheme="minorEastAsia" w:cstheme="minorEastAsia"/>
                <w:sz w:val="24"/>
              </w:rPr>
            </w:pPr>
          </w:p>
        </w:tc>
        <w:tc>
          <w:tcPr>
            <w:tcW w:w="661" w:type="dxa"/>
            <w:vMerge w:val="continue"/>
          </w:tcPr>
          <w:p>
            <w:pPr>
              <w:spacing w:line="360" w:lineRule="auto"/>
              <w:jc w:val="center"/>
              <w:rPr>
                <w:rFonts w:asciiTheme="minorEastAsia" w:hAnsiTheme="minorEastAsia" w:eastAsiaTheme="minorEastAsia" w:cstheme="minorEastAsia"/>
                <w:sz w:val="24"/>
              </w:rPr>
            </w:pPr>
          </w:p>
        </w:tc>
        <w:tc>
          <w:tcPr>
            <w:tcW w:w="992" w:type="dxa"/>
            <w:vMerge w:val="continue"/>
          </w:tcPr>
          <w:p>
            <w:pPr>
              <w:spacing w:line="360" w:lineRule="auto"/>
              <w:jc w:val="center"/>
              <w:rPr>
                <w:rFonts w:asciiTheme="minorEastAsia" w:hAnsiTheme="minorEastAsia" w:eastAsiaTheme="minorEastAsia" w:cstheme="minorEastAsia"/>
                <w:sz w:val="24"/>
              </w:rPr>
            </w:pPr>
          </w:p>
        </w:tc>
        <w:tc>
          <w:tcPr>
            <w:tcW w:w="1022" w:type="dxa"/>
            <w:vMerge w:val="continue"/>
          </w:tcPr>
          <w:p>
            <w:pPr>
              <w:spacing w:line="360" w:lineRule="auto"/>
              <w:jc w:val="center"/>
              <w:rPr>
                <w:rFonts w:asciiTheme="minorEastAsia" w:hAnsiTheme="minorEastAsia" w:eastAsiaTheme="minorEastAsia" w:cstheme="minorEastAsia"/>
                <w:sz w:val="24"/>
              </w:rPr>
            </w:pPr>
          </w:p>
        </w:tc>
        <w:tc>
          <w:tcPr>
            <w:tcW w:w="1537" w:type="dxa"/>
            <w:vMerge w:val="continue"/>
          </w:tcPr>
          <w:p>
            <w:pPr>
              <w:spacing w:line="360" w:lineRule="auto"/>
              <w:jc w:val="center"/>
              <w:rPr>
                <w:rFonts w:asciiTheme="minorEastAsia" w:hAnsiTheme="minorEastAsia" w:eastAsiaTheme="minorEastAsia" w:cstheme="minorEastAsia"/>
                <w:sz w:val="24"/>
              </w:rPr>
            </w:pPr>
          </w:p>
        </w:tc>
        <w:tc>
          <w:tcPr>
            <w:tcW w:w="600"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680"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560"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7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84" w:type="dxa"/>
          </w:tcPr>
          <w:p>
            <w:pPr>
              <w:rPr>
                <w:rFonts w:asciiTheme="minorEastAsia" w:hAnsiTheme="minorEastAsia" w:eastAsiaTheme="minorEastAsia" w:cstheme="minorEastAsia"/>
                <w:sz w:val="24"/>
              </w:rPr>
            </w:pPr>
          </w:p>
        </w:tc>
        <w:tc>
          <w:tcPr>
            <w:tcW w:w="872" w:type="dxa"/>
          </w:tcPr>
          <w:p>
            <w:pPr>
              <w:rPr>
                <w:rFonts w:asciiTheme="minorEastAsia" w:hAnsiTheme="minorEastAsia" w:eastAsiaTheme="minorEastAsia" w:cstheme="minorEastAsia"/>
                <w:sz w:val="24"/>
              </w:rPr>
            </w:pPr>
          </w:p>
        </w:tc>
        <w:tc>
          <w:tcPr>
            <w:tcW w:w="661" w:type="dxa"/>
          </w:tcPr>
          <w:p>
            <w:pPr>
              <w:rPr>
                <w:rFonts w:asciiTheme="minorEastAsia" w:hAnsiTheme="minorEastAsia" w:eastAsiaTheme="minorEastAsia" w:cstheme="minorEastAsia"/>
                <w:sz w:val="24"/>
              </w:rPr>
            </w:pPr>
          </w:p>
        </w:tc>
        <w:tc>
          <w:tcPr>
            <w:tcW w:w="992" w:type="dxa"/>
          </w:tcPr>
          <w:p>
            <w:pPr>
              <w:rPr>
                <w:rFonts w:asciiTheme="minorEastAsia" w:hAnsiTheme="minorEastAsia" w:eastAsiaTheme="minorEastAsia" w:cstheme="minorEastAsia"/>
                <w:sz w:val="24"/>
              </w:rPr>
            </w:pPr>
          </w:p>
        </w:tc>
        <w:tc>
          <w:tcPr>
            <w:tcW w:w="1022" w:type="dxa"/>
          </w:tcPr>
          <w:p>
            <w:pPr>
              <w:rPr>
                <w:rFonts w:asciiTheme="minorEastAsia" w:hAnsiTheme="minorEastAsia" w:eastAsiaTheme="minorEastAsia" w:cstheme="minorEastAsia"/>
                <w:sz w:val="24"/>
              </w:rPr>
            </w:pPr>
          </w:p>
        </w:tc>
        <w:tc>
          <w:tcPr>
            <w:tcW w:w="1537" w:type="dxa"/>
          </w:tcPr>
          <w:p>
            <w:pPr>
              <w:rPr>
                <w:rFonts w:asciiTheme="minorEastAsia" w:hAnsiTheme="minorEastAsia" w:eastAsiaTheme="minorEastAsia" w:cstheme="minorEastAsia"/>
                <w:sz w:val="24"/>
              </w:rPr>
            </w:pPr>
          </w:p>
        </w:tc>
        <w:tc>
          <w:tcPr>
            <w:tcW w:w="600" w:type="dxa"/>
          </w:tcPr>
          <w:p>
            <w:pPr>
              <w:rPr>
                <w:rFonts w:asciiTheme="minorEastAsia" w:hAnsiTheme="minorEastAsia" w:eastAsiaTheme="minorEastAsia" w:cstheme="minorEastAsia"/>
                <w:sz w:val="24"/>
              </w:rPr>
            </w:pPr>
          </w:p>
        </w:tc>
        <w:tc>
          <w:tcPr>
            <w:tcW w:w="680" w:type="dxa"/>
          </w:tcPr>
          <w:p>
            <w:pPr>
              <w:rPr>
                <w:rFonts w:asciiTheme="minorEastAsia" w:hAnsiTheme="minorEastAsia" w:eastAsiaTheme="minorEastAsia" w:cstheme="minorEastAsia"/>
                <w:sz w:val="24"/>
              </w:rPr>
            </w:pPr>
          </w:p>
        </w:tc>
        <w:tc>
          <w:tcPr>
            <w:tcW w:w="560"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7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984" w:type="dxa"/>
          </w:tcPr>
          <w:p>
            <w:pPr>
              <w:rPr>
                <w:rFonts w:asciiTheme="minorEastAsia" w:hAnsiTheme="minorEastAsia" w:eastAsiaTheme="minorEastAsia" w:cstheme="minorEastAsia"/>
                <w:sz w:val="24"/>
              </w:rPr>
            </w:pPr>
          </w:p>
        </w:tc>
        <w:tc>
          <w:tcPr>
            <w:tcW w:w="872" w:type="dxa"/>
          </w:tcPr>
          <w:p>
            <w:pPr>
              <w:rPr>
                <w:rFonts w:asciiTheme="minorEastAsia" w:hAnsiTheme="minorEastAsia" w:eastAsiaTheme="minorEastAsia" w:cstheme="minorEastAsia"/>
                <w:sz w:val="24"/>
              </w:rPr>
            </w:pPr>
          </w:p>
        </w:tc>
        <w:tc>
          <w:tcPr>
            <w:tcW w:w="661" w:type="dxa"/>
          </w:tcPr>
          <w:p>
            <w:pPr>
              <w:rPr>
                <w:rFonts w:asciiTheme="minorEastAsia" w:hAnsiTheme="minorEastAsia" w:eastAsiaTheme="minorEastAsia" w:cstheme="minorEastAsia"/>
                <w:sz w:val="24"/>
              </w:rPr>
            </w:pPr>
          </w:p>
        </w:tc>
        <w:tc>
          <w:tcPr>
            <w:tcW w:w="992" w:type="dxa"/>
          </w:tcPr>
          <w:p>
            <w:pPr>
              <w:rPr>
                <w:rFonts w:asciiTheme="minorEastAsia" w:hAnsiTheme="minorEastAsia" w:eastAsiaTheme="minorEastAsia" w:cstheme="minorEastAsia"/>
                <w:sz w:val="24"/>
              </w:rPr>
            </w:pPr>
          </w:p>
        </w:tc>
        <w:tc>
          <w:tcPr>
            <w:tcW w:w="1022" w:type="dxa"/>
          </w:tcPr>
          <w:p>
            <w:pPr>
              <w:rPr>
                <w:rFonts w:asciiTheme="minorEastAsia" w:hAnsiTheme="minorEastAsia" w:eastAsiaTheme="minorEastAsia" w:cstheme="minorEastAsia"/>
                <w:sz w:val="24"/>
              </w:rPr>
            </w:pPr>
          </w:p>
        </w:tc>
        <w:tc>
          <w:tcPr>
            <w:tcW w:w="1537" w:type="dxa"/>
          </w:tcPr>
          <w:p>
            <w:pPr>
              <w:rPr>
                <w:rFonts w:asciiTheme="minorEastAsia" w:hAnsiTheme="minorEastAsia" w:eastAsiaTheme="minorEastAsia" w:cstheme="minorEastAsia"/>
                <w:sz w:val="24"/>
              </w:rPr>
            </w:pPr>
          </w:p>
        </w:tc>
        <w:tc>
          <w:tcPr>
            <w:tcW w:w="600" w:type="dxa"/>
          </w:tcPr>
          <w:p>
            <w:pPr>
              <w:rPr>
                <w:rFonts w:asciiTheme="minorEastAsia" w:hAnsiTheme="minorEastAsia" w:eastAsiaTheme="minorEastAsia" w:cstheme="minorEastAsia"/>
                <w:sz w:val="24"/>
              </w:rPr>
            </w:pPr>
          </w:p>
        </w:tc>
        <w:tc>
          <w:tcPr>
            <w:tcW w:w="680" w:type="dxa"/>
          </w:tcPr>
          <w:p>
            <w:pPr>
              <w:rPr>
                <w:rFonts w:asciiTheme="minorEastAsia" w:hAnsiTheme="minorEastAsia" w:eastAsiaTheme="minorEastAsia" w:cstheme="minorEastAsia"/>
                <w:sz w:val="24"/>
              </w:rPr>
            </w:pPr>
          </w:p>
        </w:tc>
        <w:tc>
          <w:tcPr>
            <w:tcW w:w="560"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7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984" w:type="dxa"/>
          </w:tcPr>
          <w:p>
            <w:pPr>
              <w:rPr>
                <w:rFonts w:asciiTheme="minorEastAsia" w:hAnsiTheme="minorEastAsia" w:eastAsiaTheme="minorEastAsia" w:cstheme="minorEastAsia"/>
                <w:sz w:val="24"/>
              </w:rPr>
            </w:pPr>
          </w:p>
        </w:tc>
        <w:tc>
          <w:tcPr>
            <w:tcW w:w="872" w:type="dxa"/>
          </w:tcPr>
          <w:p>
            <w:pPr>
              <w:rPr>
                <w:rFonts w:asciiTheme="minorEastAsia" w:hAnsiTheme="minorEastAsia" w:eastAsiaTheme="minorEastAsia" w:cstheme="minorEastAsia"/>
                <w:sz w:val="24"/>
              </w:rPr>
            </w:pPr>
          </w:p>
        </w:tc>
        <w:tc>
          <w:tcPr>
            <w:tcW w:w="661" w:type="dxa"/>
          </w:tcPr>
          <w:p>
            <w:pPr>
              <w:rPr>
                <w:rFonts w:asciiTheme="minorEastAsia" w:hAnsiTheme="minorEastAsia" w:eastAsiaTheme="minorEastAsia" w:cstheme="minorEastAsia"/>
                <w:sz w:val="24"/>
              </w:rPr>
            </w:pPr>
          </w:p>
        </w:tc>
        <w:tc>
          <w:tcPr>
            <w:tcW w:w="992" w:type="dxa"/>
          </w:tcPr>
          <w:p>
            <w:pPr>
              <w:rPr>
                <w:rFonts w:asciiTheme="minorEastAsia" w:hAnsiTheme="minorEastAsia" w:eastAsiaTheme="minorEastAsia" w:cstheme="minorEastAsia"/>
                <w:sz w:val="24"/>
              </w:rPr>
            </w:pPr>
          </w:p>
        </w:tc>
        <w:tc>
          <w:tcPr>
            <w:tcW w:w="1022" w:type="dxa"/>
          </w:tcPr>
          <w:p>
            <w:pPr>
              <w:rPr>
                <w:rFonts w:asciiTheme="minorEastAsia" w:hAnsiTheme="minorEastAsia" w:eastAsiaTheme="minorEastAsia" w:cstheme="minorEastAsia"/>
                <w:sz w:val="24"/>
              </w:rPr>
            </w:pPr>
          </w:p>
        </w:tc>
        <w:tc>
          <w:tcPr>
            <w:tcW w:w="1537" w:type="dxa"/>
          </w:tcPr>
          <w:p>
            <w:pPr>
              <w:rPr>
                <w:rFonts w:asciiTheme="minorEastAsia" w:hAnsiTheme="minorEastAsia" w:eastAsiaTheme="minorEastAsia" w:cstheme="minorEastAsia"/>
                <w:sz w:val="24"/>
              </w:rPr>
            </w:pPr>
          </w:p>
        </w:tc>
        <w:tc>
          <w:tcPr>
            <w:tcW w:w="600" w:type="dxa"/>
          </w:tcPr>
          <w:p>
            <w:pPr>
              <w:rPr>
                <w:rFonts w:asciiTheme="minorEastAsia" w:hAnsiTheme="minorEastAsia" w:eastAsiaTheme="minorEastAsia" w:cstheme="minorEastAsia"/>
                <w:sz w:val="24"/>
              </w:rPr>
            </w:pPr>
          </w:p>
        </w:tc>
        <w:tc>
          <w:tcPr>
            <w:tcW w:w="680" w:type="dxa"/>
          </w:tcPr>
          <w:p>
            <w:pPr>
              <w:rPr>
                <w:rFonts w:asciiTheme="minorEastAsia" w:hAnsiTheme="minorEastAsia" w:eastAsiaTheme="minorEastAsia" w:cstheme="minorEastAsia"/>
                <w:sz w:val="24"/>
              </w:rPr>
            </w:pPr>
          </w:p>
        </w:tc>
        <w:tc>
          <w:tcPr>
            <w:tcW w:w="560" w:type="dxa"/>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57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984" w:type="dxa"/>
          </w:tcPr>
          <w:p>
            <w:pPr>
              <w:rPr>
                <w:rFonts w:asciiTheme="minorEastAsia" w:hAnsiTheme="minorEastAsia" w:eastAsiaTheme="minorEastAsia" w:cstheme="minorEastAsia"/>
                <w:sz w:val="24"/>
              </w:rPr>
            </w:pPr>
          </w:p>
        </w:tc>
        <w:tc>
          <w:tcPr>
            <w:tcW w:w="872" w:type="dxa"/>
          </w:tcPr>
          <w:p>
            <w:pPr>
              <w:rPr>
                <w:rFonts w:asciiTheme="minorEastAsia" w:hAnsiTheme="minorEastAsia" w:eastAsiaTheme="minorEastAsia" w:cstheme="minorEastAsia"/>
                <w:sz w:val="24"/>
              </w:rPr>
            </w:pPr>
          </w:p>
        </w:tc>
        <w:tc>
          <w:tcPr>
            <w:tcW w:w="661" w:type="dxa"/>
          </w:tcPr>
          <w:p>
            <w:pPr>
              <w:rPr>
                <w:rFonts w:asciiTheme="minorEastAsia" w:hAnsiTheme="minorEastAsia" w:eastAsiaTheme="minorEastAsia" w:cstheme="minorEastAsia"/>
                <w:sz w:val="24"/>
              </w:rPr>
            </w:pPr>
          </w:p>
        </w:tc>
        <w:tc>
          <w:tcPr>
            <w:tcW w:w="992" w:type="dxa"/>
          </w:tcPr>
          <w:p>
            <w:pPr>
              <w:rPr>
                <w:rFonts w:asciiTheme="minorEastAsia" w:hAnsiTheme="minorEastAsia" w:eastAsiaTheme="minorEastAsia" w:cstheme="minorEastAsia"/>
                <w:sz w:val="24"/>
              </w:rPr>
            </w:pPr>
          </w:p>
        </w:tc>
        <w:tc>
          <w:tcPr>
            <w:tcW w:w="1022" w:type="dxa"/>
          </w:tcPr>
          <w:p>
            <w:pPr>
              <w:rPr>
                <w:rFonts w:asciiTheme="minorEastAsia" w:hAnsiTheme="minorEastAsia" w:eastAsiaTheme="minorEastAsia" w:cstheme="minorEastAsia"/>
                <w:sz w:val="24"/>
              </w:rPr>
            </w:pPr>
          </w:p>
        </w:tc>
        <w:tc>
          <w:tcPr>
            <w:tcW w:w="1537" w:type="dxa"/>
          </w:tcPr>
          <w:p>
            <w:pPr>
              <w:rPr>
                <w:rFonts w:asciiTheme="minorEastAsia" w:hAnsiTheme="minorEastAsia" w:eastAsiaTheme="minorEastAsia" w:cstheme="minorEastAsia"/>
                <w:sz w:val="24"/>
              </w:rPr>
            </w:pPr>
          </w:p>
        </w:tc>
        <w:tc>
          <w:tcPr>
            <w:tcW w:w="600" w:type="dxa"/>
          </w:tcPr>
          <w:p>
            <w:pPr>
              <w:rPr>
                <w:rFonts w:asciiTheme="minorEastAsia" w:hAnsiTheme="minorEastAsia" w:eastAsiaTheme="minorEastAsia" w:cstheme="minorEastAsia"/>
                <w:sz w:val="24"/>
              </w:rPr>
            </w:pPr>
          </w:p>
        </w:tc>
        <w:tc>
          <w:tcPr>
            <w:tcW w:w="680" w:type="dxa"/>
          </w:tcPr>
          <w:p>
            <w:pPr>
              <w:rPr>
                <w:rFonts w:asciiTheme="minorEastAsia" w:hAnsiTheme="minorEastAsia" w:eastAsiaTheme="minorEastAsia" w:cstheme="minorEastAsia"/>
                <w:sz w:val="24"/>
              </w:rPr>
            </w:pPr>
          </w:p>
        </w:tc>
        <w:tc>
          <w:tcPr>
            <w:tcW w:w="560" w:type="dxa"/>
          </w:tcPr>
          <w:p>
            <w:pPr>
              <w:rPr>
                <w:rFonts w:asciiTheme="minorEastAsia" w:hAnsiTheme="minorEastAsia" w:eastAsiaTheme="minorEastAsia" w:cstheme="minorEastAsia"/>
                <w:sz w:val="24"/>
              </w:rPr>
            </w:pPr>
          </w:p>
        </w:tc>
      </w:tr>
    </w:tbl>
    <w:p>
      <w:pPr>
        <w:rPr>
          <w:rFonts w:asciiTheme="minorEastAsia" w:hAnsiTheme="minorEastAsia" w:eastAsiaTheme="minorEastAsia" w:cstheme="minorEastAsia"/>
          <w:sz w:val="24"/>
        </w:rPr>
      </w:pPr>
    </w:p>
    <w:p>
      <w:pPr>
        <w:spacing w:line="560" w:lineRule="exact"/>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说明：1、节能产品根据</w:t>
      </w:r>
      <w:r>
        <w:rPr>
          <w:rFonts w:hint="eastAsia" w:asciiTheme="minorEastAsia" w:hAnsiTheme="minorEastAsia" w:eastAsiaTheme="minorEastAsia" w:cstheme="minorEastAsia"/>
          <w:b/>
          <w:bCs/>
          <w:sz w:val="24"/>
        </w:rPr>
        <w:t>财政部、国家发展改革委</w:t>
      </w:r>
      <w:r>
        <w:rPr>
          <w:rFonts w:hint="eastAsia" w:asciiTheme="minorEastAsia" w:hAnsiTheme="minorEastAsia" w:eastAsiaTheme="minorEastAsia" w:cstheme="minorEastAsia"/>
          <w:sz w:val="24"/>
        </w:rPr>
        <w:t>最新公布的节能产品政府采购清单确定。(附有效节能产品政府采购清单所在页复印件，评委按节能产品政府采购清单要求进行核查，未附复印件的不予认可。）</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2、如所投产品为节能产品（强制采购产品除外），必须按规定格式逐项填写，否则评审时不予加分。</w:t>
      </w:r>
    </w:p>
    <w:p>
      <w:pPr>
        <w:spacing w:line="560" w:lineRule="exact"/>
        <w:rPr>
          <w:rFonts w:asciiTheme="minorEastAsia" w:hAnsiTheme="minorEastAsia" w:eastAsiaTheme="minorEastAsia" w:cstheme="minorEastAsia"/>
          <w:sz w:val="24"/>
        </w:rPr>
      </w:pPr>
    </w:p>
    <w:p>
      <w:pPr>
        <w:spacing w:line="56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年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日</w:t>
      </w:r>
    </w:p>
    <w:p>
      <w:pPr>
        <w:rPr>
          <w:rFonts w:asciiTheme="minorEastAsia" w:hAnsiTheme="minorEastAsia" w:eastAsiaTheme="minorEastAsia" w:cstheme="minorEastAsia"/>
          <w:kern w:val="1"/>
          <w:sz w:val="24"/>
        </w:rPr>
      </w:pPr>
      <w:bookmarkStart w:id="176" w:name="_Toc4779"/>
      <w:bookmarkStart w:id="177" w:name="_Toc29132"/>
    </w:p>
    <w:p>
      <w:pPr>
        <w:rPr>
          <w:rFonts w:asciiTheme="minorEastAsia" w:hAnsiTheme="minorEastAsia" w:eastAsiaTheme="minorEastAsia" w:cstheme="minorEastAsia"/>
          <w:sz w:val="24"/>
        </w:rPr>
      </w:pPr>
    </w:p>
    <w:p>
      <w:pPr>
        <w:pStyle w:val="24"/>
        <w:ind w:left="0" w:leftChars="0" w:firstLine="0" w:firstLineChars="0"/>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kern w:val="1"/>
          <w:sz w:val="24"/>
        </w:rPr>
      </w:pPr>
      <w:bookmarkStart w:id="178" w:name="_Toc4446"/>
      <w:r>
        <w:rPr>
          <w:rFonts w:hint="eastAsia" w:asciiTheme="minorEastAsia" w:hAnsiTheme="minorEastAsia" w:eastAsiaTheme="minorEastAsia" w:cstheme="minorEastAsia"/>
          <w:kern w:val="1"/>
          <w:sz w:val="24"/>
        </w:rPr>
        <w:t>四、政府强制采购节能产品明细表</w:t>
      </w:r>
      <w:bookmarkEnd w:id="176"/>
      <w:bookmarkEnd w:id="177"/>
      <w:bookmarkEnd w:id="178"/>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w w:val="98"/>
          <w:sz w:val="24"/>
        </w:rPr>
        <w:t>投标人名称（公章）：</w:t>
      </w:r>
    </w:p>
    <w:tbl>
      <w:tblPr>
        <w:tblStyle w:val="25"/>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98"/>
        <w:gridCol w:w="1148"/>
        <w:gridCol w:w="873"/>
        <w:gridCol w:w="1309"/>
        <w:gridCol w:w="134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756"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298"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产品名称</w:t>
            </w:r>
          </w:p>
        </w:tc>
        <w:tc>
          <w:tcPr>
            <w:tcW w:w="1148"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w:t>
            </w:r>
          </w:p>
        </w:tc>
        <w:tc>
          <w:tcPr>
            <w:tcW w:w="873"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1309"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产品型号</w:t>
            </w:r>
          </w:p>
        </w:tc>
        <w:tc>
          <w:tcPr>
            <w:tcW w:w="1348"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节能标志认证证书</w:t>
            </w:r>
          </w:p>
        </w:tc>
        <w:tc>
          <w:tcPr>
            <w:tcW w:w="2028"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节能产品认证证书有效截止日期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756" w:type="dxa"/>
            <w:vMerge w:val="continue"/>
          </w:tcPr>
          <w:p>
            <w:pPr>
              <w:spacing w:line="360" w:lineRule="auto"/>
              <w:jc w:val="center"/>
              <w:rPr>
                <w:rFonts w:asciiTheme="minorEastAsia" w:hAnsiTheme="minorEastAsia" w:eastAsiaTheme="minorEastAsia" w:cstheme="minorEastAsia"/>
                <w:sz w:val="24"/>
              </w:rPr>
            </w:pPr>
          </w:p>
        </w:tc>
        <w:tc>
          <w:tcPr>
            <w:tcW w:w="1298" w:type="dxa"/>
            <w:vMerge w:val="continue"/>
          </w:tcPr>
          <w:p>
            <w:pPr>
              <w:spacing w:line="360" w:lineRule="auto"/>
              <w:jc w:val="center"/>
              <w:rPr>
                <w:rFonts w:asciiTheme="minorEastAsia" w:hAnsiTheme="minorEastAsia" w:eastAsiaTheme="minorEastAsia" w:cstheme="minorEastAsia"/>
                <w:sz w:val="24"/>
              </w:rPr>
            </w:pPr>
          </w:p>
        </w:tc>
        <w:tc>
          <w:tcPr>
            <w:tcW w:w="1148" w:type="dxa"/>
            <w:vMerge w:val="continue"/>
          </w:tcPr>
          <w:p>
            <w:pPr>
              <w:spacing w:line="360" w:lineRule="auto"/>
              <w:jc w:val="center"/>
              <w:rPr>
                <w:rFonts w:asciiTheme="minorEastAsia" w:hAnsiTheme="minorEastAsia" w:eastAsiaTheme="minorEastAsia" w:cstheme="minorEastAsia"/>
                <w:sz w:val="24"/>
              </w:rPr>
            </w:pPr>
          </w:p>
        </w:tc>
        <w:tc>
          <w:tcPr>
            <w:tcW w:w="873" w:type="dxa"/>
            <w:vMerge w:val="continue"/>
          </w:tcPr>
          <w:p>
            <w:pPr>
              <w:spacing w:line="360" w:lineRule="auto"/>
              <w:jc w:val="center"/>
              <w:rPr>
                <w:rFonts w:asciiTheme="minorEastAsia" w:hAnsiTheme="minorEastAsia" w:eastAsiaTheme="minorEastAsia" w:cstheme="minorEastAsia"/>
                <w:sz w:val="24"/>
              </w:rPr>
            </w:pPr>
          </w:p>
        </w:tc>
        <w:tc>
          <w:tcPr>
            <w:tcW w:w="1309" w:type="dxa"/>
            <w:vMerge w:val="continue"/>
          </w:tcPr>
          <w:p>
            <w:pPr>
              <w:spacing w:line="360" w:lineRule="auto"/>
              <w:jc w:val="center"/>
              <w:rPr>
                <w:rFonts w:asciiTheme="minorEastAsia" w:hAnsiTheme="minorEastAsia" w:eastAsiaTheme="minorEastAsia" w:cstheme="minorEastAsia"/>
                <w:sz w:val="24"/>
              </w:rPr>
            </w:pPr>
          </w:p>
        </w:tc>
        <w:tc>
          <w:tcPr>
            <w:tcW w:w="1348" w:type="dxa"/>
            <w:vMerge w:val="continue"/>
          </w:tcPr>
          <w:p>
            <w:pPr>
              <w:spacing w:line="360" w:lineRule="auto"/>
              <w:jc w:val="center"/>
              <w:rPr>
                <w:rFonts w:asciiTheme="minorEastAsia" w:hAnsiTheme="minorEastAsia" w:eastAsiaTheme="minorEastAsia" w:cstheme="minorEastAsia"/>
                <w:sz w:val="24"/>
              </w:rPr>
            </w:pPr>
          </w:p>
        </w:tc>
        <w:tc>
          <w:tcPr>
            <w:tcW w:w="2028" w:type="dxa"/>
            <w:vMerge w:val="continue"/>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56"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298" w:type="dxa"/>
          </w:tcPr>
          <w:p>
            <w:pPr>
              <w:spacing w:line="360" w:lineRule="auto"/>
              <w:rPr>
                <w:rFonts w:asciiTheme="minorEastAsia" w:hAnsiTheme="minorEastAsia" w:eastAsiaTheme="minorEastAsia" w:cstheme="minorEastAsia"/>
                <w:sz w:val="24"/>
              </w:rPr>
            </w:pPr>
          </w:p>
        </w:tc>
        <w:tc>
          <w:tcPr>
            <w:tcW w:w="1148" w:type="dxa"/>
          </w:tcPr>
          <w:p>
            <w:pPr>
              <w:spacing w:line="360" w:lineRule="auto"/>
              <w:rPr>
                <w:rFonts w:asciiTheme="minorEastAsia" w:hAnsiTheme="minorEastAsia" w:eastAsiaTheme="minorEastAsia" w:cstheme="minorEastAsia"/>
                <w:sz w:val="24"/>
              </w:rPr>
            </w:pPr>
          </w:p>
        </w:tc>
        <w:tc>
          <w:tcPr>
            <w:tcW w:w="873" w:type="dxa"/>
          </w:tcPr>
          <w:p>
            <w:pPr>
              <w:spacing w:line="360" w:lineRule="auto"/>
              <w:rPr>
                <w:rFonts w:asciiTheme="minorEastAsia" w:hAnsiTheme="minorEastAsia" w:eastAsiaTheme="minorEastAsia" w:cstheme="minorEastAsia"/>
                <w:sz w:val="24"/>
              </w:rPr>
            </w:pPr>
          </w:p>
        </w:tc>
        <w:tc>
          <w:tcPr>
            <w:tcW w:w="1309" w:type="dxa"/>
          </w:tcPr>
          <w:p>
            <w:pPr>
              <w:spacing w:line="360" w:lineRule="auto"/>
              <w:rPr>
                <w:rFonts w:asciiTheme="minorEastAsia" w:hAnsiTheme="minorEastAsia" w:eastAsiaTheme="minorEastAsia" w:cstheme="minorEastAsia"/>
                <w:sz w:val="24"/>
              </w:rPr>
            </w:pPr>
          </w:p>
        </w:tc>
        <w:tc>
          <w:tcPr>
            <w:tcW w:w="1348" w:type="dxa"/>
          </w:tcPr>
          <w:p>
            <w:pPr>
              <w:spacing w:line="360" w:lineRule="auto"/>
              <w:rPr>
                <w:rFonts w:asciiTheme="minorEastAsia" w:hAnsiTheme="minorEastAsia" w:eastAsiaTheme="minorEastAsia" w:cstheme="minorEastAsia"/>
                <w:sz w:val="24"/>
              </w:rPr>
            </w:pPr>
          </w:p>
        </w:tc>
        <w:tc>
          <w:tcPr>
            <w:tcW w:w="2028" w:type="dxa"/>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56"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298" w:type="dxa"/>
          </w:tcPr>
          <w:p>
            <w:pPr>
              <w:spacing w:line="360" w:lineRule="auto"/>
              <w:rPr>
                <w:rFonts w:asciiTheme="minorEastAsia" w:hAnsiTheme="minorEastAsia" w:eastAsiaTheme="minorEastAsia" w:cstheme="minorEastAsia"/>
                <w:sz w:val="24"/>
              </w:rPr>
            </w:pPr>
          </w:p>
        </w:tc>
        <w:tc>
          <w:tcPr>
            <w:tcW w:w="1148" w:type="dxa"/>
          </w:tcPr>
          <w:p>
            <w:pPr>
              <w:spacing w:line="360" w:lineRule="auto"/>
              <w:rPr>
                <w:rFonts w:asciiTheme="minorEastAsia" w:hAnsiTheme="minorEastAsia" w:eastAsiaTheme="minorEastAsia" w:cstheme="minorEastAsia"/>
                <w:sz w:val="24"/>
              </w:rPr>
            </w:pPr>
          </w:p>
        </w:tc>
        <w:tc>
          <w:tcPr>
            <w:tcW w:w="873" w:type="dxa"/>
          </w:tcPr>
          <w:p>
            <w:pPr>
              <w:spacing w:line="360" w:lineRule="auto"/>
              <w:rPr>
                <w:rFonts w:asciiTheme="minorEastAsia" w:hAnsiTheme="minorEastAsia" w:eastAsiaTheme="minorEastAsia" w:cstheme="minorEastAsia"/>
                <w:sz w:val="24"/>
              </w:rPr>
            </w:pPr>
          </w:p>
        </w:tc>
        <w:tc>
          <w:tcPr>
            <w:tcW w:w="1309" w:type="dxa"/>
          </w:tcPr>
          <w:p>
            <w:pPr>
              <w:spacing w:line="360" w:lineRule="auto"/>
              <w:rPr>
                <w:rFonts w:asciiTheme="minorEastAsia" w:hAnsiTheme="minorEastAsia" w:eastAsiaTheme="minorEastAsia" w:cstheme="minorEastAsia"/>
                <w:sz w:val="24"/>
              </w:rPr>
            </w:pPr>
          </w:p>
        </w:tc>
        <w:tc>
          <w:tcPr>
            <w:tcW w:w="1348" w:type="dxa"/>
          </w:tcPr>
          <w:p>
            <w:pPr>
              <w:spacing w:line="360" w:lineRule="auto"/>
              <w:rPr>
                <w:rFonts w:asciiTheme="minorEastAsia" w:hAnsiTheme="minorEastAsia" w:eastAsiaTheme="minorEastAsia" w:cstheme="minorEastAsia"/>
                <w:sz w:val="24"/>
              </w:rPr>
            </w:pPr>
          </w:p>
        </w:tc>
        <w:tc>
          <w:tcPr>
            <w:tcW w:w="2028" w:type="dxa"/>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56"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298" w:type="dxa"/>
          </w:tcPr>
          <w:p>
            <w:pPr>
              <w:spacing w:line="360" w:lineRule="auto"/>
              <w:rPr>
                <w:rFonts w:asciiTheme="minorEastAsia" w:hAnsiTheme="minorEastAsia" w:eastAsiaTheme="minorEastAsia" w:cstheme="minorEastAsia"/>
                <w:sz w:val="24"/>
              </w:rPr>
            </w:pPr>
          </w:p>
        </w:tc>
        <w:tc>
          <w:tcPr>
            <w:tcW w:w="1148" w:type="dxa"/>
          </w:tcPr>
          <w:p>
            <w:pPr>
              <w:spacing w:line="360" w:lineRule="auto"/>
              <w:rPr>
                <w:rFonts w:asciiTheme="minorEastAsia" w:hAnsiTheme="minorEastAsia" w:eastAsiaTheme="minorEastAsia" w:cstheme="minorEastAsia"/>
                <w:sz w:val="24"/>
              </w:rPr>
            </w:pPr>
          </w:p>
        </w:tc>
        <w:tc>
          <w:tcPr>
            <w:tcW w:w="873" w:type="dxa"/>
          </w:tcPr>
          <w:p>
            <w:pPr>
              <w:spacing w:line="360" w:lineRule="auto"/>
              <w:rPr>
                <w:rFonts w:asciiTheme="minorEastAsia" w:hAnsiTheme="minorEastAsia" w:eastAsiaTheme="minorEastAsia" w:cstheme="minorEastAsia"/>
                <w:sz w:val="24"/>
              </w:rPr>
            </w:pPr>
          </w:p>
        </w:tc>
        <w:tc>
          <w:tcPr>
            <w:tcW w:w="1309" w:type="dxa"/>
          </w:tcPr>
          <w:p>
            <w:pPr>
              <w:spacing w:line="360" w:lineRule="auto"/>
              <w:rPr>
                <w:rFonts w:asciiTheme="minorEastAsia" w:hAnsiTheme="minorEastAsia" w:eastAsiaTheme="minorEastAsia" w:cstheme="minorEastAsia"/>
                <w:sz w:val="24"/>
              </w:rPr>
            </w:pPr>
          </w:p>
        </w:tc>
        <w:tc>
          <w:tcPr>
            <w:tcW w:w="1348" w:type="dxa"/>
          </w:tcPr>
          <w:p>
            <w:pPr>
              <w:spacing w:line="360" w:lineRule="auto"/>
              <w:rPr>
                <w:rFonts w:asciiTheme="minorEastAsia" w:hAnsiTheme="minorEastAsia" w:eastAsiaTheme="minorEastAsia" w:cstheme="minorEastAsia"/>
                <w:sz w:val="24"/>
              </w:rPr>
            </w:pPr>
          </w:p>
        </w:tc>
        <w:tc>
          <w:tcPr>
            <w:tcW w:w="2028" w:type="dxa"/>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756" w:type="dxa"/>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1298" w:type="dxa"/>
          </w:tcPr>
          <w:p>
            <w:pPr>
              <w:spacing w:line="360" w:lineRule="auto"/>
              <w:rPr>
                <w:rFonts w:asciiTheme="minorEastAsia" w:hAnsiTheme="minorEastAsia" w:eastAsiaTheme="minorEastAsia" w:cstheme="minorEastAsia"/>
                <w:sz w:val="24"/>
              </w:rPr>
            </w:pPr>
          </w:p>
        </w:tc>
        <w:tc>
          <w:tcPr>
            <w:tcW w:w="1148" w:type="dxa"/>
          </w:tcPr>
          <w:p>
            <w:pPr>
              <w:spacing w:line="360" w:lineRule="auto"/>
              <w:rPr>
                <w:rFonts w:asciiTheme="minorEastAsia" w:hAnsiTheme="minorEastAsia" w:eastAsiaTheme="minorEastAsia" w:cstheme="minorEastAsia"/>
                <w:sz w:val="24"/>
              </w:rPr>
            </w:pPr>
          </w:p>
        </w:tc>
        <w:tc>
          <w:tcPr>
            <w:tcW w:w="873" w:type="dxa"/>
          </w:tcPr>
          <w:p>
            <w:pPr>
              <w:spacing w:line="360" w:lineRule="auto"/>
              <w:rPr>
                <w:rFonts w:asciiTheme="minorEastAsia" w:hAnsiTheme="minorEastAsia" w:eastAsiaTheme="minorEastAsia" w:cstheme="minorEastAsia"/>
                <w:sz w:val="24"/>
              </w:rPr>
            </w:pPr>
          </w:p>
        </w:tc>
        <w:tc>
          <w:tcPr>
            <w:tcW w:w="1309" w:type="dxa"/>
          </w:tcPr>
          <w:p>
            <w:pPr>
              <w:spacing w:line="360" w:lineRule="auto"/>
              <w:rPr>
                <w:rFonts w:asciiTheme="minorEastAsia" w:hAnsiTheme="minorEastAsia" w:eastAsiaTheme="minorEastAsia" w:cstheme="minorEastAsia"/>
                <w:sz w:val="24"/>
              </w:rPr>
            </w:pPr>
          </w:p>
        </w:tc>
        <w:tc>
          <w:tcPr>
            <w:tcW w:w="1348" w:type="dxa"/>
          </w:tcPr>
          <w:p>
            <w:pPr>
              <w:spacing w:line="360" w:lineRule="auto"/>
              <w:rPr>
                <w:rFonts w:asciiTheme="minorEastAsia" w:hAnsiTheme="minorEastAsia" w:eastAsiaTheme="minorEastAsia" w:cstheme="minorEastAsia"/>
                <w:sz w:val="24"/>
              </w:rPr>
            </w:pPr>
          </w:p>
        </w:tc>
        <w:tc>
          <w:tcPr>
            <w:tcW w:w="2028" w:type="dxa"/>
          </w:tcPr>
          <w:p>
            <w:pPr>
              <w:spacing w:line="360" w:lineRule="auto"/>
              <w:rPr>
                <w:rFonts w:asciiTheme="minorEastAsia" w:hAnsiTheme="minorEastAsia" w:eastAsiaTheme="minorEastAsia" w:cstheme="minorEastAsia"/>
                <w:sz w:val="24"/>
              </w:rPr>
            </w:pPr>
          </w:p>
        </w:tc>
      </w:tr>
    </w:tbl>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kern w:val="1"/>
          <w:sz w:val="24"/>
        </w:rPr>
      </w:pPr>
    </w:p>
    <w:p>
      <w:pPr>
        <w:spacing w:line="360" w:lineRule="auto"/>
        <w:rPr>
          <w:rFonts w:asciiTheme="minorEastAsia" w:hAnsiTheme="minorEastAsia" w:eastAsiaTheme="minorEastAsia" w:cstheme="minorEastAsia"/>
          <w:kern w:val="1"/>
          <w:sz w:val="24"/>
        </w:rPr>
      </w:pPr>
    </w:p>
    <w:p>
      <w:pPr>
        <w:spacing w:line="360" w:lineRule="auto"/>
        <w:rPr>
          <w:rFonts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说明：1、政府采购强制节能产品根据</w:t>
      </w:r>
      <w:r>
        <w:rPr>
          <w:rFonts w:hint="eastAsia" w:asciiTheme="minorEastAsia" w:hAnsiTheme="minorEastAsia" w:eastAsiaTheme="minorEastAsia" w:cstheme="minorEastAsia"/>
          <w:b/>
          <w:bCs/>
          <w:kern w:val="1"/>
          <w:sz w:val="24"/>
        </w:rPr>
        <w:t>财政部、国家发展改革委</w:t>
      </w:r>
      <w:r>
        <w:rPr>
          <w:rFonts w:hint="eastAsia" w:asciiTheme="minorEastAsia" w:hAnsiTheme="minorEastAsia" w:eastAsiaTheme="minorEastAsia" w:cstheme="minorEastAsia"/>
          <w:kern w:val="1"/>
          <w:sz w:val="24"/>
        </w:rPr>
        <w:t>最新公布的节能产品政府采购清单确定。</w:t>
      </w:r>
    </w:p>
    <w:p>
      <w:pPr>
        <w:spacing w:line="360" w:lineRule="auto"/>
        <w:rPr>
          <w:rFonts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2、如所投产品为政府强制采购节能产品，必须按规定格式逐项填写，否则按无效投标处理。</w:t>
      </w:r>
    </w:p>
    <w:p>
      <w:pPr>
        <w:spacing w:line="360" w:lineRule="auto"/>
        <w:rPr>
          <w:rFonts w:asciiTheme="minorEastAsia" w:hAnsiTheme="minorEastAsia" w:eastAsiaTheme="minorEastAsia" w:cstheme="minorEastAsia"/>
          <w:kern w:val="1"/>
          <w:sz w:val="24"/>
        </w:rPr>
      </w:pPr>
    </w:p>
    <w:p>
      <w:pPr>
        <w:spacing w:line="360" w:lineRule="auto"/>
        <w:rPr>
          <w:rFonts w:asciiTheme="minorEastAsia" w:hAnsiTheme="minorEastAsia" w:eastAsiaTheme="minorEastAsia" w:cstheme="minorEastAsia"/>
          <w:kern w:val="1"/>
          <w:sz w:val="24"/>
        </w:rPr>
      </w:pPr>
    </w:p>
    <w:p>
      <w:pPr>
        <w:spacing w:line="360" w:lineRule="auto"/>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年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日</w:t>
      </w:r>
    </w:p>
    <w:p>
      <w:pPr>
        <w:spacing w:line="200" w:lineRule="exact"/>
        <w:rPr>
          <w:rFonts w:asciiTheme="minorEastAsia" w:hAnsiTheme="minorEastAsia" w:eastAsiaTheme="minorEastAsia" w:cstheme="minorEastAsia"/>
          <w:sz w:val="24"/>
        </w:rPr>
      </w:pPr>
    </w:p>
    <w:p>
      <w:pPr>
        <w:rPr>
          <w:rFonts w:asciiTheme="minorEastAsia" w:hAnsiTheme="minorEastAsia" w:eastAsiaTheme="minorEastAsia" w:cstheme="minorEastAsia"/>
          <w:kern w:val="1"/>
          <w:sz w:val="24"/>
        </w:rPr>
      </w:pPr>
    </w:p>
    <w:p>
      <w:pPr>
        <w:rPr>
          <w:rFonts w:asciiTheme="minorEastAsia" w:hAnsiTheme="minorEastAsia" w:eastAsiaTheme="minorEastAsia" w:cstheme="minorEastAsia"/>
          <w:kern w:val="1"/>
          <w:sz w:val="24"/>
        </w:rPr>
      </w:pPr>
    </w:p>
    <w:p>
      <w:pPr>
        <w:rPr>
          <w:rFonts w:asciiTheme="minorEastAsia" w:hAnsiTheme="minorEastAsia" w:eastAsiaTheme="minorEastAsia" w:cstheme="minorEastAsia"/>
          <w:kern w:val="1"/>
          <w:sz w:val="24"/>
        </w:rPr>
      </w:pPr>
    </w:p>
    <w:p>
      <w:pPr>
        <w:rPr>
          <w:rFonts w:asciiTheme="minorEastAsia" w:hAnsiTheme="minorEastAsia" w:eastAsiaTheme="minorEastAsia" w:cstheme="minorEastAsia"/>
          <w:kern w:val="1"/>
          <w:sz w:val="24"/>
        </w:rPr>
      </w:pPr>
    </w:p>
    <w:p>
      <w:pPr>
        <w:jc w:val="center"/>
        <w:rPr>
          <w:rFonts w:asciiTheme="minorEastAsia" w:hAnsiTheme="minorEastAsia" w:eastAsiaTheme="minorEastAsia" w:cstheme="minorEastAsia"/>
          <w:kern w:val="1"/>
          <w:sz w:val="24"/>
        </w:rPr>
      </w:pPr>
      <w:bookmarkStart w:id="179" w:name="_Toc5501"/>
      <w:bookmarkStart w:id="180" w:name="_Toc11979"/>
      <w:bookmarkStart w:id="181" w:name="_Toc23895"/>
      <w:r>
        <w:rPr>
          <w:rFonts w:hint="eastAsia" w:asciiTheme="minorEastAsia" w:hAnsiTheme="minorEastAsia" w:eastAsiaTheme="minorEastAsia" w:cstheme="minorEastAsia"/>
          <w:kern w:val="1"/>
          <w:sz w:val="24"/>
        </w:rPr>
        <w:t>五、小型、微型企业产品明细表</w:t>
      </w:r>
      <w:bookmarkEnd w:id="179"/>
      <w:bookmarkEnd w:id="180"/>
      <w:bookmarkEnd w:id="181"/>
    </w:p>
    <w:p>
      <w:pPr>
        <w:rPr>
          <w:rFonts w:asciiTheme="minorEastAsia" w:hAnsiTheme="minorEastAsia" w:eastAsiaTheme="minorEastAsia" w:cstheme="minorEastAsia"/>
          <w:kern w:val="1"/>
          <w:sz w:val="24"/>
        </w:rPr>
      </w:pPr>
    </w:p>
    <w:p>
      <w:pPr>
        <w:rPr>
          <w:rFonts w:asciiTheme="minorEastAsia" w:hAnsiTheme="minorEastAsia" w:eastAsiaTheme="minorEastAsia" w:cstheme="minorEastAsia"/>
          <w:kern w:val="1"/>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w w:val="98"/>
          <w:sz w:val="24"/>
        </w:rPr>
        <w:t xml:space="preserve">投标人名称（公章）：                            </w:t>
      </w:r>
      <w:r>
        <w:rPr>
          <w:rFonts w:hint="eastAsia" w:asciiTheme="minorEastAsia" w:hAnsiTheme="minorEastAsia" w:eastAsiaTheme="minorEastAsia" w:cstheme="minorEastAsia"/>
          <w:sz w:val="24"/>
        </w:rPr>
        <w:t>价格单位：元</w:t>
      </w:r>
    </w:p>
    <w:tbl>
      <w:tblPr>
        <w:tblStyle w:val="25"/>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68"/>
        <w:gridCol w:w="1300"/>
        <w:gridCol w:w="988"/>
        <w:gridCol w:w="1481"/>
        <w:gridCol w:w="898"/>
        <w:gridCol w:w="1014"/>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56"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468"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产品名称</w:t>
            </w:r>
          </w:p>
        </w:tc>
        <w:tc>
          <w:tcPr>
            <w:tcW w:w="1300"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w:t>
            </w:r>
          </w:p>
        </w:tc>
        <w:tc>
          <w:tcPr>
            <w:tcW w:w="988"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1481"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产品型号</w:t>
            </w:r>
          </w:p>
        </w:tc>
        <w:tc>
          <w:tcPr>
            <w:tcW w:w="2747" w:type="dxa"/>
            <w:gridSpan w:val="3"/>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6" w:type="dxa"/>
            <w:vMerge w:val="continue"/>
          </w:tcPr>
          <w:p>
            <w:pPr>
              <w:spacing w:line="360" w:lineRule="auto"/>
              <w:jc w:val="center"/>
              <w:rPr>
                <w:rFonts w:asciiTheme="minorEastAsia" w:hAnsiTheme="minorEastAsia" w:eastAsiaTheme="minorEastAsia" w:cstheme="minorEastAsia"/>
                <w:sz w:val="24"/>
              </w:rPr>
            </w:pPr>
          </w:p>
        </w:tc>
        <w:tc>
          <w:tcPr>
            <w:tcW w:w="1468" w:type="dxa"/>
            <w:vMerge w:val="continue"/>
          </w:tcPr>
          <w:p>
            <w:pPr>
              <w:spacing w:line="360" w:lineRule="auto"/>
              <w:jc w:val="center"/>
              <w:rPr>
                <w:rFonts w:asciiTheme="minorEastAsia" w:hAnsiTheme="minorEastAsia" w:eastAsiaTheme="minorEastAsia" w:cstheme="minorEastAsia"/>
                <w:sz w:val="24"/>
              </w:rPr>
            </w:pPr>
          </w:p>
        </w:tc>
        <w:tc>
          <w:tcPr>
            <w:tcW w:w="1300" w:type="dxa"/>
            <w:vMerge w:val="continue"/>
          </w:tcPr>
          <w:p>
            <w:pPr>
              <w:spacing w:line="360" w:lineRule="auto"/>
              <w:jc w:val="center"/>
              <w:rPr>
                <w:rFonts w:asciiTheme="minorEastAsia" w:hAnsiTheme="minorEastAsia" w:eastAsiaTheme="minorEastAsia" w:cstheme="minorEastAsia"/>
                <w:sz w:val="24"/>
              </w:rPr>
            </w:pPr>
          </w:p>
        </w:tc>
        <w:tc>
          <w:tcPr>
            <w:tcW w:w="988" w:type="dxa"/>
            <w:vMerge w:val="continue"/>
          </w:tcPr>
          <w:p>
            <w:pPr>
              <w:spacing w:line="360" w:lineRule="auto"/>
              <w:jc w:val="center"/>
              <w:rPr>
                <w:rFonts w:asciiTheme="minorEastAsia" w:hAnsiTheme="minorEastAsia" w:eastAsiaTheme="minorEastAsia" w:cstheme="minorEastAsia"/>
                <w:sz w:val="24"/>
              </w:rPr>
            </w:pPr>
          </w:p>
        </w:tc>
        <w:tc>
          <w:tcPr>
            <w:tcW w:w="1481" w:type="dxa"/>
            <w:vMerge w:val="continue"/>
          </w:tcPr>
          <w:p>
            <w:pPr>
              <w:spacing w:line="360" w:lineRule="auto"/>
              <w:jc w:val="center"/>
              <w:rPr>
                <w:rFonts w:asciiTheme="minorEastAsia" w:hAnsiTheme="minorEastAsia" w:eastAsiaTheme="minorEastAsia" w:cstheme="minorEastAsia"/>
                <w:sz w:val="24"/>
              </w:rPr>
            </w:pPr>
          </w:p>
        </w:tc>
        <w:tc>
          <w:tcPr>
            <w:tcW w:w="898"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1014"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835"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6"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68" w:type="dxa"/>
          </w:tcPr>
          <w:p>
            <w:pPr>
              <w:spacing w:line="360" w:lineRule="auto"/>
              <w:rPr>
                <w:rFonts w:asciiTheme="minorEastAsia" w:hAnsiTheme="minorEastAsia" w:eastAsiaTheme="minorEastAsia" w:cstheme="minorEastAsia"/>
                <w:sz w:val="24"/>
              </w:rPr>
            </w:pPr>
          </w:p>
        </w:tc>
        <w:tc>
          <w:tcPr>
            <w:tcW w:w="1300" w:type="dxa"/>
          </w:tcPr>
          <w:p>
            <w:pPr>
              <w:spacing w:line="360" w:lineRule="auto"/>
              <w:rPr>
                <w:rFonts w:asciiTheme="minorEastAsia" w:hAnsiTheme="minorEastAsia" w:eastAsiaTheme="minorEastAsia" w:cstheme="minorEastAsia"/>
                <w:sz w:val="24"/>
              </w:rPr>
            </w:pPr>
          </w:p>
        </w:tc>
        <w:tc>
          <w:tcPr>
            <w:tcW w:w="988" w:type="dxa"/>
          </w:tcPr>
          <w:p>
            <w:pPr>
              <w:spacing w:line="360" w:lineRule="auto"/>
              <w:rPr>
                <w:rFonts w:asciiTheme="minorEastAsia" w:hAnsiTheme="minorEastAsia" w:eastAsiaTheme="minorEastAsia" w:cstheme="minorEastAsia"/>
                <w:sz w:val="24"/>
              </w:rPr>
            </w:pPr>
          </w:p>
        </w:tc>
        <w:tc>
          <w:tcPr>
            <w:tcW w:w="1481" w:type="dxa"/>
          </w:tcPr>
          <w:p>
            <w:pPr>
              <w:spacing w:line="360" w:lineRule="auto"/>
              <w:rPr>
                <w:rFonts w:asciiTheme="minorEastAsia" w:hAnsiTheme="minorEastAsia" w:eastAsiaTheme="minorEastAsia" w:cstheme="minorEastAsia"/>
                <w:sz w:val="24"/>
              </w:rPr>
            </w:pPr>
          </w:p>
        </w:tc>
        <w:tc>
          <w:tcPr>
            <w:tcW w:w="898" w:type="dxa"/>
          </w:tcPr>
          <w:p>
            <w:pPr>
              <w:spacing w:line="360" w:lineRule="auto"/>
              <w:rPr>
                <w:rFonts w:asciiTheme="minorEastAsia" w:hAnsiTheme="minorEastAsia" w:eastAsiaTheme="minorEastAsia" w:cstheme="minorEastAsia"/>
                <w:sz w:val="24"/>
              </w:rPr>
            </w:pPr>
          </w:p>
        </w:tc>
        <w:tc>
          <w:tcPr>
            <w:tcW w:w="1014" w:type="dxa"/>
          </w:tcPr>
          <w:p>
            <w:pPr>
              <w:spacing w:line="360" w:lineRule="auto"/>
              <w:rPr>
                <w:rFonts w:asciiTheme="minorEastAsia" w:hAnsiTheme="minorEastAsia" w:eastAsiaTheme="minorEastAsia" w:cstheme="minorEastAsia"/>
                <w:sz w:val="24"/>
              </w:rPr>
            </w:pPr>
          </w:p>
        </w:tc>
        <w:tc>
          <w:tcPr>
            <w:tcW w:w="835" w:type="dxa"/>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6"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68" w:type="dxa"/>
          </w:tcPr>
          <w:p>
            <w:pPr>
              <w:spacing w:line="360" w:lineRule="auto"/>
              <w:rPr>
                <w:rFonts w:asciiTheme="minorEastAsia" w:hAnsiTheme="minorEastAsia" w:eastAsiaTheme="minorEastAsia" w:cstheme="minorEastAsia"/>
                <w:sz w:val="24"/>
              </w:rPr>
            </w:pPr>
          </w:p>
        </w:tc>
        <w:tc>
          <w:tcPr>
            <w:tcW w:w="1300" w:type="dxa"/>
          </w:tcPr>
          <w:p>
            <w:pPr>
              <w:spacing w:line="360" w:lineRule="auto"/>
              <w:rPr>
                <w:rFonts w:asciiTheme="minorEastAsia" w:hAnsiTheme="minorEastAsia" w:eastAsiaTheme="minorEastAsia" w:cstheme="minorEastAsia"/>
                <w:sz w:val="24"/>
              </w:rPr>
            </w:pPr>
          </w:p>
        </w:tc>
        <w:tc>
          <w:tcPr>
            <w:tcW w:w="988" w:type="dxa"/>
          </w:tcPr>
          <w:p>
            <w:pPr>
              <w:spacing w:line="360" w:lineRule="auto"/>
              <w:rPr>
                <w:rFonts w:asciiTheme="minorEastAsia" w:hAnsiTheme="minorEastAsia" w:eastAsiaTheme="minorEastAsia" w:cstheme="minorEastAsia"/>
                <w:sz w:val="24"/>
              </w:rPr>
            </w:pPr>
          </w:p>
        </w:tc>
        <w:tc>
          <w:tcPr>
            <w:tcW w:w="1481" w:type="dxa"/>
          </w:tcPr>
          <w:p>
            <w:pPr>
              <w:spacing w:line="360" w:lineRule="auto"/>
              <w:rPr>
                <w:rFonts w:asciiTheme="minorEastAsia" w:hAnsiTheme="minorEastAsia" w:eastAsiaTheme="minorEastAsia" w:cstheme="minorEastAsia"/>
                <w:sz w:val="24"/>
              </w:rPr>
            </w:pPr>
          </w:p>
        </w:tc>
        <w:tc>
          <w:tcPr>
            <w:tcW w:w="898" w:type="dxa"/>
          </w:tcPr>
          <w:p>
            <w:pPr>
              <w:spacing w:line="360" w:lineRule="auto"/>
              <w:rPr>
                <w:rFonts w:asciiTheme="minorEastAsia" w:hAnsiTheme="minorEastAsia" w:eastAsiaTheme="minorEastAsia" w:cstheme="minorEastAsia"/>
                <w:sz w:val="24"/>
              </w:rPr>
            </w:pPr>
          </w:p>
        </w:tc>
        <w:tc>
          <w:tcPr>
            <w:tcW w:w="1014" w:type="dxa"/>
          </w:tcPr>
          <w:p>
            <w:pPr>
              <w:spacing w:line="360" w:lineRule="auto"/>
              <w:rPr>
                <w:rFonts w:asciiTheme="minorEastAsia" w:hAnsiTheme="minorEastAsia" w:eastAsiaTheme="minorEastAsia" w:cstheme="minorEastAsia"/>
                <w:sz w:val="24"/>
              </w:rPr>
            </w:pPr>
          </w:p>
        </w:tc>
        <w:tc>
          <w:tcPr>
            <w:tcW w:w="835" w:type="dxa"/>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6" w:type="dxa"/>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468" w:type="dxa"/>
          </w:tcPr>
          <w:p>
            <w:pPr>
              <w:spacing w:line="360" w:lineRule="auto"/>
              <w:rPr>
                <w:rFonts w:asciiTheme="minorEastAsia" w:hAnsiTheme="minorEastAsia" w:eastAsiaTheme="minorEastAsia" w:cstheme="minorEastAsia"/>
                <w:sz w:val="24"/>
              </w:rPr>
            </w:pPr>
          </w:p>
        </w:tc>
        <w:tc>
          <w:tcPr>
            <w:tcW w:w="1300" w:type="dxa"/>
          </w:tcPr>
          <w:p>
            <w:pPr>
              <w:spacing w:line="360" w:lineRule="auto"/>
              <w:rPr>
                <w:rFonts w:asciiTheme="minorEastAsia" w:hAnsiTheme="minorEastAsia" w:eastAsiaTheme="minorEastAsia" w:cstheme="minorEastAsia"/>
                <w:sz w:val="24"/>
              </w:rPr>
            </w:pPr>
          </w:p>
        </w:tc>
        <w:tc>
          <w:tcPr>
            <w:tcW w:w="988" w:type="dxa"/>
          </w:tcPr>
          <w:p>
            <w:pPr>
              <w:spacing w:line="360" w:lineRule="auto"/>
              <w:rPr>
                <w:rFonts w:asciiTheme="minorEastAsia" w:hAnsiTheme="minorEastAsia" w:eastAsiaTheme="minorEastAsia" w:cstheme="minorEastAsia"/>
                <w:sz w:val="24"/>
              </w:rPr>
            </w:pPr>
          </w:p>
        </w:tc>
        <w:tc>
          <w:tcPr>
            <w:tcW w:w="1481" w:type="dxa"/>
          </w:tcPr>
          <w:p>
            <w:pPr>
              <w:spacing w:line="360" w:lineRule="auto"/>
              <w:rPr>
                <w:rFonts w:asciiTheme="minorEastAsia" w:hAnsiTheme="minorEastAsia" w:eastAsiaTheme="minorEastAsia" w:cstheme="minorEastAsia"/>
                <w:sz w:val="24"/>
              </w:rPr>
            </w:pPr>
          </w:p>
        </w:tc>
        <w:tc>
          <w:tcPr>
            <w:tcW w:w="898" w:type="dxa"/>
          </w:tcPr>
          <w:p>
            <w:pPr>
              <w:spacing w:line="360" w:lineRule="auto"/>
              <w:rPr>
                <w:rFonts w:asciiTheme="minorEastAsia" w:hAnsiTheme="minorEastAsia" w:eastAsiaTheme="minorEastAsia" w:cstheme="minorEastAsia"/>
                <w:sz w:val="24"/>
              </w:rPr>
            </w:pPr>
          </w:p>
        </w:tc>
        <w:tc>
          <w:tcPr>
            <w:tcW w:w="1014" w:type="dxa"/>
          </w:tcPr>
          <w:p>
            <w:pPr>
              <w:spacing w:line="360" w:lineRule="auto"/>
              <w:rPr>
                <w:rFonts w:asciiTheme="minorEastAsia" w:hAnsiTheme="minorEastAsia" w:eastAsiaTheme="minorEastAsia" w:cstheme="minorEastAsia"/>
                <w:sz w:val="24"/>
              </w:rPr>
            </w:pPr>
          </w:p>
        </w:tc>
        <w:tc>
          <w:tcPr>
            <w:tcW w:w="835" w:type="dxa"/>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856" w:type="dxa"/>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1468" w:type="dxa"/>
          </w:tcPr>
          <w:p>
            <w:pPr>
              <w:spacing w:line="360" w:lineRule="auto"/>
              <w:rPr>
                <w:rFonts w:asciiTheme="minorEastAsia" w:hAnsiTheme="minorEastAsia" w:eastAsiaTheme="minorEastAsia" w:cstheme="minorEastAsia"/>
                <w:sz w:val="24"/>
              </w:rPr>
            </w:pPr>
          </w:p>
        </w:tc>
        <w:tc>
          <w:tcPr>
            <w:tcW w:w="1300" w:type="dxa"/>
          </w:tcPr>
          <w:p>
            <w:pPr>
              <w:spacing w:line="360" w:lineRule="auto"/>
              <w:rPr>
                <w:rFonts w:asciiTheme="minorEastAsia" w:hAnsiTheme="minorEastAsia" w:eastAsiaTheme="minorEastAsia" w:cstheme="minorEastAsia"/>
                <w:sz w:val="24"/>
              </w:rPr>
            </w:pPr>
          </w:p>
        </w:tc>
        <w:tc>
          <w:tcPr>
            <w:tcW w:w="988" w:type="dxa"/>
          </w:tcPr>
          <w:p>
            <w:pPr>
              <w:spacing w:line="360" w:lineRule="auto"/>
              <w:rPr>
                <w:rFonts w:asciiTheme="minorEastAsia" w:hAnsiTheme="minorEastAsia" w:eastAsiaTheme="minorEastAsia" w:cstheme="minorEastAsia"/>
                <w:sz w:val="24"/>
              </w:rPr>
            </w:pPr>
          </w:p>
        </w:tc>
        <w:tc>
          <w:tcPr>
            <w:tcW w:w="1481" w:type="dxa"/>
          </w:tcPr>
          <w:p>
            <w:pPr>
              <w:spacing w:line="360" w:lineRule="auto"/>
              <w:rPr>
                <w:rFonts w:asciiTheme="minorEastAsia" w:hAnsiTheme="minorEastAsia" w:eastAsiaTheme="minorEastAsia" w:cstheme="minorEastAsia"/>
                <w:sz w:val="24"/>
              </w:rPr>
            </w:pPr>
          </w:p>
        </w:tc>
        <w:tc>
          <w:tcPr>
            <w:tcW w:w="898" w:type="dxa"/>
          </w:tcPr>
          <w:p>
            <w:pPr>
              <w:spacing w:line="360" w:lineRule="auto"/>
              <w:rPr>
                <w:rFonts w:asciiTheme="minorEastAsia" w:hAnsiTheme="minorEastAsia" w:eastAsiaTheme="minorEastAsia" w:cstheme="minorEastAsia"/>
                <w:sz w:val="24"/>
              </w:rPr>
            </w:pPr>
          </w:p>
        </w:tc>
        <w:tc>
          <w:tcPr>
            <w:tcW w:w="1014" w:type="dxa"/>
          </w:tcPr>
          <w:p>
            <w:pPr>
              <w:spacing w:line="360" w:lineRule="auto"/>
              <w:rPr>
                <w:rFonts w:asciiTheme="minorEastAsia" w:hAnsiTheme="minorEastAsia" w:eastAsiaTheme="minorEastAsia" w:cstheme="minorEastAsia"/>
                <w:sz w:val="24"/>
              </w:rPr>
            </w:pPr>
          </w:p>
        </w:tc>
        <w:tc>
          <w:tcPr>
            <w:tcW w:w="835" w:type="dxa"/>
          </w:tcPr>
          <w:p>
            <w:pPr>
              <w:spacing w:line="360" w:lineRule="auto"/>
              <w:rPr>
                <w:rFonts w:asciiTheme="minorEastAsia" w:hAnsiTheme="minorEastAsia" w:eastAsiaTheme="minorEastAsia" w:cstheme="minorEastAsia"/>
                <w:sz w:val="24"/>
              </w:rPr>
            </w:pPr>
          </w:p>
        </w:tc>
      </w:tr>
    </w:tbl>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说明：如所投货物为小型、微型企业产品，须按本附件规定格式逐项填写并按附件 五 规定提供《中小企业声明函》、《从业人员声明函》、从业人员名单、身份证号及工资发放明细表、上一年度资产负债表、损益表的原件，否则评分时不予认可。所投产品不是小型、微型企业产品，则不需要填写本表。</w:t>
      </w:r>
    </w:p>
    <w:p>
      <w:pPr>
        <w:jc w:val="center"/>
        <w:rPr>
          <w:rFonts w:asciiTheme="majorEastAsia" w:hAnsiTheme="majorEastAsia" w:eastAsiaTheme="majorEastAsia" w:cstheme="majorEastAsia"/>
          <w:b/>
          <w:bCs/>
          <w:sz w:val="24"/>
        </w:rPr>
      </w:pPr>
    </w:p>
    <w:p>
      <w:pPr>
        <w:jc w:val="center"/>
        <w:rPr>
          <w:rFonts w:asciiTheme="majorEastAsia" w:hAnsiTheme="majorEastAsia" w:eastAsiaTheme="majorEastAsia" w:cstheme="majorEastAsia"/>
          <w:b/>
          <w:bCs/>
          <w:sz w:val="24"/>
        </w:rPr>
      </w:pPr>
    </w:p>
    <w:p>
      <w:pPr>
        <w:jc w:val="center"/>
        <w:rPr>
          <w:rFonts w:asciiTheme="majorEastAsia" w:hAnsiTheme="majorEastAsia" w:eastAsiaTheme="majorEastAsia" w:cstheme="majorEastAsia"/>
          <w:b/>
          <w:bCs/>
          <w:sz w:val="24"/>
        </w:rPr>
      </w:pPr>
    </w:p>
    <w:p>
      <w:pPr>
        <w:jc w:val="center"/>
        <w:rPr>
          <w:rFonts w:asciiTheme="majorEastAsia" w:hAnsiTheme="majorEastAsia" w:eastAsiaTheme="majorEastAsia" w:cstheme="majorEastAsia"/>
          <w:b/>
          <w:bCs/>
          <w:sz w:val="24"/>
        </w:rPr>
      </w:pPr>
    </w:p>
    <w:p>
      <w:pPr>
        <w:jc w:val="center"/>
        <w:rPr>
          <w:rFonts w:asciiTheme="majorEastAsia" w:hAnsiTheme="majorEastAsia" w:eastAsiaTheme="majorEastAsia" w:cstheme="majorEastAsia"/>
          <w:b/>
          <w:bCs/>
          <w:sz w:val="24"/>
        </w:rPr>
      </w:pPr>
    </w:p>
    <w:p>
      <w:pPr>
        <w:widowControl/>
        <w:numPr>
          <w:ilvl w:val="0"/>
          <w:numId w:val="18"/>
        </w:numPr>
        <w:jc w:val="center"/>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评分标准</w:t>
      </w:r>
    </w:p>
    <w:p>
      <w:pPr>
        <w:widowControl/>
        <w:numPr>
          <w:ilvl w:val="0"/>
          <w:numId w:val="0"/>
        </w:numPr>
        <w:ind w:firstLine="241" w:firstLineChars="100"/>
        <w:jc w:val="both"/>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A包：</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b/>
              </w:rPr>
            </w:pPr>
            <w:r>
              <w:rPr>
                <w:rFonts w:hint="eastAsia" w:ascii="宋体" w:hAnsi="宋体" w:eastAsia="宋体"/>
                <w:b/>
              </w:rPr>
              <w:t>项目</w:t>
            </w:r>
          </w:p>
        </w:tc>
        <w:tc>
          <w:tcPr>
            <w:tcW w:w="708" w:type="dxa"/>
            <w:vAlign w:val="center"/>
          </w:tcPr>
          <w:p>
            <w:pPr>
              <w:spacing w:line="360" w:lineRule="auto"/>
              <w:jc w:val="center"/>
              <w:rPr>
                <w:rFonts w:ascii="宋体" w:hAnsi="宋体" w:eastAsia="宋体"/>
                <w:b/>
              </w:rPr>
            </w:pPr>
            <w:r>
              <w:rPr>
                <w:rFonts w:hint="eastAsia" w:ascii="宋体" w:hAnsi="宋体" w:eastAsia="宋体"/>
                <w:b/>
              </w:rPr>
              <w:t>分值</w:t>
            </w:r>
          </w:p>
        </w:tc>
        <w:tc>
          <w:tcPr>
            <w:tcW w:w="6713" w:type="dxa"/>
            <w:vAlign w:val="center"/>
          </w:tcPr>
          <w:p>
            <w:pPr>
              <w:spacing w:line="360" w:lineRule="auto"/>
              <w:jc w:val="center"/>
              <w:rPr>
                <w:rFonts w:ascii="宋体" w:hAnsi="宋体" w:eastAsia="宋体"/>
                <w:b/>
              </w:rPr>
            </w:pPr>
            <w:r>
              <w:rPr>
                <w:rFonts w:hint="eastAsia" w:ascii="宋体" w:hAnsi="宋体" w:eastAsia="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color w:val="FF0000"/>
              </w:rPr>
            </w:pPr>
            <w:r>
              <w:rPr>
                <w:rFonts w:hint="eastAsia" w:ascii="宋体" w:hAnsi="宋体" w:eastAsia="宋体"/>
                <w:color w:val="FF0000"/>
              </w:rPr>
              <w:t>价格</w:t>
            </w:r>
          </w:p>
        </w:tc>
        <w:tc>
          <w:tcPr>
            <w:tcW w:w="708" w:type="dxa"/>
            <w:vAlign w:val="center"/>
          </w:tcPr>
          <w:p>
            <w:pPr>
              <w:spacing w:line="360" w:lineRule="auto"/>
              <w:jc w:val="center"/>
              <w:rPr>
                <w:rFonts w:ascii="宋体" w:hAnsi="宋体" w:eastAsia="宋体"/>
                <w:color w:val="FF0000"/>
              </w:rPr>
            </w:pPr>
            <w:r>
              <w:rPr>
                <w:rFonts w:hint="eastAsia" w:ascii="宋体" w:hAnsi="宋体" w:eastAsia="宋体"/>
                <w:color w:val="FF0000"/>
              </w:rPr>
              <w:t>20分</w:t>
            </w:r>
          </w:p>
        </w:tc>
        <w:tc>
          <w:tcPr>
            <w:tcW w:w="6713" w:type="dxa"/>
            <w:vAlign w:val="center"/>
          </w:tcPr>
          <w:p>
            <w:pPr>
              <w:spacing w:line="360" w:lineRule="auto"/>
              <w:jc w:val="left"/>
              <w:rPr>
                <w:rFonts w:ascii="宋体" w:hAnsi="宋体" w:eastAsia="宋体"/>
                <w:color w:val="FF0000"/>
              </w:rPr>
            </w:pPr>
            <w:r>
              <w:rPr>
                <w:rFonts w:hint="eastAsia" w:ascii="宋体" w:hAnsi="宋体" w:eastAsia="宋体"/>
                <w:color w:val="FF0000"/>
              </w:rPr>
              <w:t>以满足采购文件要求且报价最低的供应商最终报价为评审基准价，其价格分为满分20分，其他投标人的价格按照下列公式计算：报价得分=（评审基准价/</w:t>
            </w:r>
            <w:r>
              <w:rPr>
                <w:rFonts w:hint="eastAsia" w:ascii="宋体" w:hAnsi="宋体" w:eastAsia="宋体"/>
                <w:color w:val="FF0000"/>
                <w:lang w:eastAsia="zh-CN"/>
              </w:rPr>
              <w:t>投标</w:t>
            </w:r>
            <w:r>
              <w:rPr>
                <w:rFonts w:hint="eastAsia" w:ascii="宋体" w:hAnsi="宋体" w:eastAsia="宋体"/>
                <w:color w:val="FF0000"/>
              </w:rPr>
              <w:t>报价）×20。</w:t>
            </w:r>
          </w:p>
          <w:p>
            <w:pPr>
              <w:spacing w:line="360" w:lineRule="auto"/>
              <w:jc w:val="left"/>
              <w:rPr>
                <w:rFonts w:ascii="宋体" w:hAnsi="宋体" w:eastAsia="宋体"/>
                <w:color w:val="FF0000"/>
              </w:rPr>
            </w:pPr>
            <w:r>
              <w:rPr>
                <w:rFonts w:hint="eastAsia" w:ascii="宋体" w:hAnsi="宋体" w:eastAsia="宋体"/>
                <w:color w:val="FF0000"/>
              </w:rPr>
              <w:t>备注：1.投标人投标报价超出最高限价（财政预算），将作废标处理。</w:t>
            </w:r>
            <w:r>
              <w:rPr>
                <w:rFonts w:hint="eastAsia" w:ascii="宋体" w:hAnsi="宋体" w:eastAsia="宋体"/>
                <w:color w:val="FF0000"/>
                <w:lang w:val="en-US" w:eastAsia="zh-CN"/>
              </w:rPr>
              <w:t>2</w:t>
            </w:r>
            <w:r>
              <w:rPr>
                <w:rFonts w:hint="eastAsia" w:ascii="宋体" w:hAnsi="宋体" w:eastAsia="宋体"/>
                <w:color w:val="FF0000"/>
              </w:rPr>
              <w:t>.如果评委发现投标人的报价明显低于其他合理投标报价，将要求该投标人做书面说明并提供相关证明材料，如投标人不能合理说明或不能提供相关证明材料的，评审委员会可将其定为无效投标或确定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color w:val="FF0000"/>
              </w:rPr>
            </w:pPr>
            <w:r>
              <w:rPr>
                <w:rFonts w:hint="eastAsia" w:ascii="宋体" w:hAnsi="宋体" w:eastAsia="宋体"/>
                <w:color w:val="FF0000"/>
              </w:rPr>
              <w:t>服务方案</w:t>
            </w:r>
          </w:p>
        </w:tc>
        <w:tc>
          <w:tcPr>
            <w:tcW w:w="708" w:type="dxa"/>
            <w:vAlign w:val="center"/>
          </w:tcPr>
          <w:p>
            <w:pPr>
              <w:spacing w:line="360" w:lineRule="auto"/>
              <w:jc w:val="center"/>
              <w:rPr>
                <w:rFonts w:ascii="宋体" w:hAnsi="宋体" w:eastAsia="宋体"/>
                <w:color w:val="FF0000"/>
              </w:rPr>
            </w:pPr>
            <w:r>
              <w:rPr>
                <w:rFonts w:hint="eastAsia" w:ascii="宋体" w:hAnsi="宋体" w:eastAsia="宋体"/>
                <w:color w:val="FF0000"/>
              </w:rPr>
              <w:t>18分</w:t>
            </w:r>
          </w:p>
        </w:tc>
        <w:tc>
          <w:tcPr>
            <w:tcW w:w="6713" w:type="dxa"/>
            <w:vAlign w:val="center"/>
          </w:tcPr>
          <w:p>
            <w:pPr>
              <w:spacing w:line="360" w:lineRule="auto"/>
              <w:jc w:val="left"/>
              <w:rPr>
                <w:rFonts w:hint="eastAsia" w:ascii="宋体" w:hAnsi="宋体" w:eastAsia="宋体"/>
                <w:color w:val="FF0000"/>
              </w:rPr>
            </w:pPr>
            <w:r>
              <w:rPr>
                <w:rFonts w:hint="eastAsia" w:ascii="宋体" w:hAnsi="宋体" w:eastAsia="宋体"/>
                <w:color w:val="FF0000"/>
              </w:rPr>
              <w:t>根据投标人提报的技术方案科学性、完整性、方案可行性及采购文件响应情况</w:t>
            </w:r>
            <w:r>
              <w:rPr>
                <w:rFonts w:hint="eastAsia" w:ascii="宋体" w:hAnsi="宋体" w:eastAsia="宋体"/>
                <w:color w:val="FF0000"/>
                <w:lang w:eastAsia="zh-CN"/>
              </w:rPr>
              <w:t>以上内容</w:t>
            </w:r>
            <w:r>
              <w:rPr>
                <w:rFonts w:hint="eastAsia" w:ascii="宋体" w:hAnsi="宋体" w:eastAsia="宋体"/>
                <w:color w:val="FF0000"/>
              </w:rPr>
              <w:t>能充分满足采购人要求的，得1</w:t>
            </w:r>
            <w:r>
              <w:rPr>
                <w:rFonts w:hint="eastAsia" w:ascii="宋体" w:hAnsi="宋体" w:eastAsia="宋体"/>
                <w:color w:val="FF0000"/>
                <w:lang w:val="en-US" w:eastAsia="zh-CN"/>
              </w:rPr>
              <w:t>4</w:t>
            </w:r>
            <w:r>
              <w:rPr>
                <w:rFonts w:hint="eastAsia" w:ascii="宋体" w:hAnsi="宋体" w:eastAsia="宋体"/>
                <w:color w:val="FF0000"/>
              </w:rPr>
              <w:t>-</w:t>
            </w:r>
            <w:r>
              <w:rPr>
                <w:rFonts w:hint="eastAsia" w:ascii="宋体" w:hAnsi="宋体" w:eastAsia="宋体"/>
                <w:color w:val="FF0000"/>
                <w:lang w:val="en-US" w:eastAsia="zh-CN"/>
              </w:rPr>
              <w:t>18</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根据投标人提报的技术方案科学性、完整性、方案可行性及采购文件响应情况</w:t>
            </w:r>
            <w:r>
              <w:rPr>
                <w:rFonts w:hint="eastAsia" w:ascii="宋体" w:hAnsi="宋体" w:eastAsia="宋体"/>
                <w:color w:val="FF0000"/>
                <w:lang w:eastAsia="zh-CN"/>
              </w:rPr>
              <w:t>以上内容情况一般，基本满足采购人要求的</w:t>
            </w:r>
            <w:r>
              <w:rPr>
                <w:rFonts w:hint="eastAsia" w:ascii="宋体" w:hAnsi="宋体" w:eastAsia="宋体"/>
                <w:color w:val="FF0000"/>
              </w:rPr>
              <w:t>，得</w:t>
            </w:r>
            <w:r>
              <w:rPr>
                <w:rFonts w:hint="eastAsia" w:ascii="宋体" w:hAnsi="宋体" w:eastAsia="宋体"/>
                <w:color w:val="FF0000"/>
                <w:lang w:val="en-US" w:eastAsia="zh-CN"/>
              </w:rPr>
              <w:t>9</w:t>
            </w:r>
            <w:r>
              <w:rPr>
                <w:rFonts w:hint="eastAsia" w:ascii="宋体" w:hAnsi="宋体" w:eastAsia="宋体"/>
                <w:color w:val="FF0000"/>
              </w:rPr>
              <w:t>-</w:t>
            </w:r>
            <w:r>
              <w:rPr>
                <w:rFonts w:hint="eastAsia" w:ascii="宋体" w:hAnsi="宋体" w:eastAsia="宋体"/>
                <w:color w:val="FF0000"/>
                <w:lang w:val="en-US" w:eastAsia="zh-CN"/>
              </w:rPr>
              <w:t>13</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根据投标人提报的技术方案科学性、完整性、方案可行性及采购文件响应情况</w:t>
            </w:r>
            <w:r>
              <w:rPr>
                <w:rFonts w:hint="eastAsia" w:ascii="宋体" w:hAnsi="宋体" w:eastAsia="宋体"/>
                <w:color w:val="FF0000"/>
                <w:lang w:eastAsia="zh-CN"/>
              </w:rPr>
              <w:t>以上内容情况差，基本无法满足采购人要求的</w:t>
            </w:r>
            <w:r>
              <w:rPr>
                <w:rFonts w:hint="eastAsia" w:ascii="宋体" w:hAnsi="宋体" w:eastAsia="宋体"/>
                <w:color w:val="FF0000"/>
              </w:rPr>
              <w:t>，得</w:t>
            </w:r>
            <w:r>
              <w:rPr>
                <w:rFonts w:hint="eastAsia" w:ascii="宋体" w:hAnsi="宋体" w:eastAsia="宋体"/>
                <w:color w:val="FF0000"/>
                <w:lang w:val="en-US" w:eastAsia="zh-CN"/>
              </w:rPr>
              <w:t>4</w:t>
            </w:r>
            <w:r>
              <w:rPr>
                <w:rFonts w:hint="eastAsia" w:ascii="宋体" w:hAnsi="宋体" w:eastAsia="宋体"/>
                <w:color w:val="FF0000"/>
              </w:rPr>
              <w:t>-</w:t>
            </w:r>
            <w:r>
              <w:rPr>
                <w:rFonts w:hint="eastAsia" w:ascii="宋体" w:hAnsi="宋体" w:eastAsia="宋体"/>
                <w:color w:val="FF0000"/>
                <w:lang w:val="en-US" w:eastAsia="zh-CN"/>
              </w:rPr>
              <w:t>8</w:t>
            </w:r>
            <w:r>
              <w:rPr>
                <w:rFonts w:hint="eastAsia" w:ascii="宋体" w:hAnsi="宋体" w:eastAsia="宋体"/>
                <w:color w:val="FF0000"/>
              </w:rPr>
              <w:t>分；</w:t>
            </w:r>
          </w:p>
          <w:p>
            <w:pPr>
              <w:spacing w:line="360" w:lineRule="auto"/>
              <w:jc w:val="left"/>
              <w:rPr>
                <w:rFonts w:hint="eastAsia" w:ascii="宋体" w:hAnsi="宋体" w:eastAsia="宋体"/>
                <w:color w:val="FF0000"/>
                <w:lang w:eastAsia="zh-CN"/>
              </w:rPr>
            </w:pPr>
            <w:r>
              <w:rPr>
                <w:rFonts w:hint="eastAsia" w:ascii="宋体" w:hAnsi="宋体" w:eastAsia="宋体"/>
                <w:color w:val="FF0000"/>
                <w:lang w:eastAsia="zh-CN"/>
              </w:rPr>
              <w:t>注：缺项不得分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color w:val="FF0000"/>
              </w:rPr>
            </w:pPr>
            <w:r>
              <w:rPr>
                <w:rFonts w:hint="eastAsia" w:ascii="宋体" w:hAnsi="宋体" w:eastAsia="宋体"/>
                <w:color w:val="FF0000"/>
              </w:rPr>
              <w:t>工期及保障方案</w:t>
            </w:r>
          </w:p>
        </w:tc>
        <w:tc>
          <w:tcPr>
            <w:tcW w:w="708" w:type="dxa"/>
            <w:vAlign w:val="center"/>
          </w:tcPr>
          <w:p>
            <w:pPr>
              <w:spacing w:line="360" w:lineRule="auto"/>
              <w:jc w:val="center"/>
              <w:rPr>
                <w:rFonts w:ascii="宋体" w:hAnsi="宋体" w:eastAsia="宋体"/>
                <w:color w:val="FF0000"/>
              </w:rPr>
            </w:pPr>
            <w:r>
              <w:rPr>
                <w:rFonts w:hint="eastAsia" w:ascii="宋体" w:hAnsi="宋体" w:eastAsia="宋体"/>
                <w:color w:val="FF0000"/>
              </w:rPr>
              <w:t>1</w:t>
            </w:r>
            <w:r>
              <w:rPr>
                <w:rFonts w:hint="eastAsia" w:ascii="宋体" w:hAnsi="宋体" w:eastAsia="宋体"/>
                <w:color w:val="FF0000"/>
                <w:lang w:val="en-US" w:eastAsia="zh-CN"/>
              </w:rPr>
              <w:t>3</w:t>
            </w:r>
            <w:r>
              <w:rPr>
                <w:rFonts w:hint="eastAsia" w:ascii="宋体" w:hAnsi="宋体" w:eastAsia="宋体"/>
                <w:color w:val="FF0000"/>
              </w:rPr>
              <w:t>分</w:t>
            </w:r>
          </w:p>
        </w:tc>
        <w:tc>
          <w:tcPr>
            <w:tcW w:w="6713" w:type="dxa"/>
            <w:vAlign w:val="center"/>
          </w:tcPr>
          <w:p>
            <w:pPr>
              <w:spacing w:line="360" w:lineRule="auto"/>
              <w:jc w:val="left"/>
              <w:rPr>
                <w:rFonts w:hint="eastAsia" w:ascii="宋体" w:hAnsi="宋体" w:eastAsia="宋体"/>
                <w:color w:val="FF0000"/>
              </w:rPr>
            </w:pPr>
            <w:r>
              <w:rPr>
                <w:rFonts w:hint="eastAsia" w:ascii="宋体" w:hAnsi="宋体" w:eastAsia="宋体"/>
                <w:color w:val="FF0000"/>
              </w:rPr>
              <w:t>根据投标人时间安排、工作计划、确保项目按时按要求完成的保障措施等的科学性、合理性等可操作性强</w:t>
            </w:r>
            <w:r>
              <w:rPr>
                <w:rFonts w:hint="eastAsia" w:ascii="宋体" w:hAnsi="宋体" w:eastAsia="宋体"/>
                <w:color w:val="FF0000"/>
                <w:lang w:eastAsia="zh-CN"/>
              </w:rPr>
              <w:t>得</w:t>
            </w:r>
            <w:r>
              <w:rPr>
                <w:rFonts w:hint="eastAsia" w:ascii="宋体" w:hAnsi="宋体" w:eastAsia="宋体"/>
                <w:color w:val="FF0000"/>
                <w:lang w:val="en-US" w:eastAsia="zh-CN"/>
              </w:rPr>
              <w:t>9-</w:t>
            </w:r>
            <w:r>
              <w:rPr>
                <w:rFonts w:hint="eastAsia" w:ascii="宋体" w:hAnsi="宋体" w:eastAsia="宋体"/>
                <w:color w:val="FF0000"/>
              </w:rPr>
              <w:t>1</w:t>
            </w:r>
            <w:r>
              <w:rPr>
                <w:rFonts w:hint="eastAsia" w:ascii="宋体" w:hAnsi="宋体" w:eastAsia="宋体"/>
                <w:color w:val="FF0000"/>
                <w:lang w:val="en-US" w:eastAsia="zh-CN"/>
              </w:rPr>
              <w:t>3</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根据投标人时间安排、工作计划、确保项目按时按要求完成的保障措施等的科学性、合理性等可操作性分较强</w:t>
            </w:r>
            <w:r>
              <w:rPr>
                <w:rFonts w:hint="eastAsia" w:ascii="宋体" w:hAnsi="宋体" w:eastAsia="宋体"/>
                <w:color w:val="FF0000"/>
                <w:lang w:eastAsia="zh-CN"/>
              </w:rPr>
              <w:t>得</w:t>
            </w:r>
            <w:r>
              <w:rPr>
                <w:rFonts w:hint="eastAsia" w:ascii="宋体" w:hAnsi="宋体" w:eastAsia="宋体"/>
                <w:color w:val="FF0000"/>
                <w:lang w:val="en-US" w:eastAsia="zh-CN"/>
              </w:rPr>
              <w:t>5-9</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根据投标人时间安排、工作计划、确保项目按时按要求完成的保障措施等的科学性、合理性等不具有可操作性</w:t>
            </w:r>
            <w:r>
              <w:rPr>
                <w:rFonts w:hint="eastAsia" w:ascii="宋体" w:hAnsi="宋体" w:eastAsia="宋体"/>
                <w:color w:val="FF0000"/>
                <w:lang w:eastAsia="zh-CN"/>
              </w:rPr>
              <w:t>得</w:t>
            </w:r>
            <w:r>
              <w:rPr>
                <w:rFonts w:hint="eastAsia" w:ascii="宋体" w:hAnsi="宋体" w:eastAsia="宋体"/>
                <w:color w:val="FF0000"/>
                <w:lang w:val="en-US" w:eastAsia="zh-CN"/>
              </w:rPr>
              <w:t>2-5</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lang w:eastAsia="zh-CN"/>
              </w:rPr>
              <w:t>注：缺项不得分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color w:val="FF0000"/>
              </w:rPr>
            </w:pPr>
            <w:r>
              <w:rPr>
                <w:rFonts w:hint="eastAsia" w:ascii="宋体" w:hAnsi="宋体" w:eastAsia="宋体"/>
                <w:color w:val="FF0000"/>
              </w:rPr>
              <w:t>售后服务承诺</w:t>
            </w:r>
          </w:p>
        </w:tc>
        <w:tc>
          <w:tcPr>
            <w:tcW w:w="708" w:type="dxa"/>
            <w:vAlign w:val="center"/>
          </w:tcPr>
          <w:p>
            <w:pPr>
              <w:spacing w:line="360" w:lineRule="auto"/>
              <w:jc w:val="center"/>
              <w:rPr>
                <w:rFonts w:ascii="宋体" w:hAnsi="宋体" w:eastAsia="宋体"/>
                <w:color w:val="FF0000"/>
              </w:rPr>
            </w:pPr>
            <w:r>
              <w:rPr>
                <w:rFonts w:hint="eastAsia" w:ascii="宋体" w:hAnsi="宋体" w:eastAsia="宋体"/>
                <w:color w:val="FF0000"/>
              </w:rPr>
              <w:t>10分</w:t>
            </w:r>
          </w:p>
        </w:tc>
        <w:tc>
          <w:tcPr>
            <w:tcW w:w="6713" w:type="dxa"/>
            <w:vAlign w:val="center"/>
          </w:tcPr>
          <w:p>
            <w:pPr>
              <w:spacing w:line="360" w:lineRule="auto"/>
              <w:jc w:val="left"/>
              <w:rPr>
                <w:rFonts w:ascii="宋体" w:hAnsi="宋体" w:eastAsia="宋体"/>
                <w:color w:val="FF0000"/>
              </w:rPr>
            </w:pPr>
            <w:r>
              <w:rPr>
                <w:rFonts w:hint="eastAsia" w:ascii="宋体" w:hAnsi="宋体" w:eastAsia="宋体"/>
                <w:color w:val="FF0000"/>
              </w:rPr>
              <w:t>保障本项目后续相关工作需求，投标人需提供售后服务承诺。根据投标人提供的服务承诺打分，</w:t>
            </w:r>
            <w:r>
              <w:rPr>
                <w:rFonts w:hint="eastAsia" w:ascii="宋体" w:hAnsi="宋体" w:eastAsia="宋体"/>
                <w:color w:val="FF0000"/>
                <w:lang w:eastAsia="zh-CN"/>
              </w:rPr>
              <w:t>每有一条经评标小组评定并经招标单位实质性认可得</w:t>
            </w:r>
            <w:r>
              <w:rPr>
                <w:rFonts w:hint="eastAsia" w:ascii="宋体" w:hAnsi="宋体" w:eastAsia="宋体"/>
                <w:color w:val="FF0000"/>
                <w:lang w:val="en-US" w:eastAsia="zh-CN"/>
              </w:rPr>
              <w:t>2分，本项满分10分</w:t>
            </w:r>
            <w:r>
              <w:rPr>
                <w:rFonts w:hint="eastAsia" w:ascii="宋体" w:hAnsi="宋体" w:eastAsia="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rPr>
            </w:pPr>
            <w:r>
              <w:rPr>
                <w:rFonts w:hint="eastAsia" w:ascii="宋体" w:hAnsi="宋体" w:eastAsia="宋体"/>
              </w:rPr>
              <w:t>服务团队</w:t>
            </w:r>
          </w:p>
        </w:tc>
        <w:tc>
          <w:tcPr>
            <w:tcW w:w="708" w:type="dxa"/>
            <w:vAlign w:val="center"/>
          </w:tcPr>
          <w:p>
            <w:pPr>
              <w:spacing w:line="360" w:lineRule="auto"/>
              <w:jc w:val="center"/>
              <w:rPr>
                <w:rFonts w:ascii="宋体" w:hAnsi="宋体" w:eastAsia="宋体"/>
              </w:rPr>
            </w:pPr>
            <w:r>
              <w:rPr>
                <w:rFonts w:hint="eastAsia" w:ascii="宋体" w:hAnsi="宋体" w:eastAsia="宋体"/>
              </w:rPr>
              <w:t>20分</w:t>
            </w:r>
          </w:p>
        </w:tc>
        <w:tc>
          <w:tcPr>
            <w:tcW w:w="6713" w:type="dxa"/>
            <w:vAlign w:val="center"/>
          </w:tcPr>
          <w:p>
            <w:pPr>
              <w:spacing w:line="360" w:lineRule="auto"/>
              <w:jc w:val="left"/>
              <w:rPr>
                <w:rFonts w:ascii="宋体" w:hAnsi="宋体" w:eastAsia="宋体"/>
              </w:rPr>
            </w:pPr>
            <w:r>
              <w:rPr>
                <w:rFonts w:hint="eastAsia" w:ascii="宋体" w:hAnsi="宋体" w:eastAsia="宋体"/>
              </w:rPr>
              <w:t>根据投标人制定的人员配备计划，人员数量、人员技术水平以及合理性等进行综合打分</w:t>
            </w:r>
            <w:r>
              <w:rPr>
                <w:rFonts w:hint="eastAsia" w:ascii="宋体" w:hAnsi="宋体" w:eastAsia="宋体"/>
                <w:color w:val="FF0000"/>
                <w:lang w:eastAsia="zh-CN"/>
              </w:rPr>
              <w:t>得</w:t>
            </w:r>
            <w:r>
              <w:rPr>
                <w:rFonts w:hint="eastAsia" w:ascii="宋体" w:hAnsi="宋体" w:eastAsia="宋体"/>
                <w:color w:val="FF0000"/>
                <w:lang w:val="en-US" w:eastAsia="zh-CN"/>
              </w:rPr>
              <w:t>1-</w:t>
            </w:r>
            <w:r>
              <w:rPr>
                <w:rFonts w:hint="eastAsia" w:ascii="宋体" w:hAnsi="宋体" w:eastAsia="宋体"/>
                <w:color w:val="FF0000"/>
              </w:rPr>
              <w:t>5分；</w:t>
            </w:r>
          </w:p>
          <w:p>
            <w:pPr>
              <w:spacing w:line="360" w:lineRule="auto"/>
              <w:jc w:val="left"/>
              <w:rPr>
                <w:rFonts w:ascii="宋体" w:hAnsi="宋体" w:eastAsia="宋体"/>
              </w:rPr>
            </w:pPr>
            <w:r>
              <w:rPr>
                <w:rFonts w:hint="eastAsia" w:ascii="宋体" w:hAnsi="宋体" w:eastAsia="宋体"/>
              </w:rPr>
              <w:t>具有本项目相关专业硕士及以上学位的每人加1分，满分3分；</w:t>
            </w:r>
          </w:p>
          <w:p>
            <w:pPr>
              <w:spacing w:line="360" w:lineRule="auto"/>
              <w:jc w:val="left"/>
              <w:rPr>
                <w:rFonts w:ascii="宋体" w:hAnsi="宋体" w:eastAsia="宋体"/>
              </w:rPr>
            </w:pPr>
            <w:r>
              <w:rPr>
                <w:rFonts w:hint="eastAsia" w:ascii="宋体" w:hAnsi="宋体" w:eastAsia="宋体"/>
              </w:rPr>
              <w:t>具有本项目相关专业中级职称及以上的每人加1分，满分3分；</w:t>
            </w:r>
          </w:p>
          <w:p>
            <w:pPr>
              <w:spacing w:line="360" w:lineRule="auto"/>
              <w:jc w:val="left"/>
              <w:rPr>
                <w:rFonts w:ascii="宋体" w:hAnsi="宋体" w:eastAsia="宋体"/>
              </w:rPr>
            </w:pPr>
            <w:r>
              <w:rPr>
                <w:rFonts w:hint="eastAsia" w:ascii="宋体" w:hAnsi="宋体" w:eastAsia="宋体"/>
              </w:rPr>
              <w:t>投标人项目组成员中，具有自动监控（水）运行资质证书，每有1个得1分，最高得4分；</w:t>
            </w:r>
          </w:p>
          <w:p>
            <w:pPr>
              <w:spacing w:line="360" w:lineRule="auto"/>
              <w:jc w:val="left"/>
              <w:rPr>
                <w:rFonts w:ascii="宋体" w:hAnsi="宋体" w:eastAsia="宋体"/>
              </w:rPr>
            </w:pPr>
            <w:r>
              <w:rPr>
                <w:rFonts w:hint="eastAsia" w:ascii="宋体" w:hAnsi="宋体" w:eastAsia="宋体"/>
              </w:rPr>
              <w:t>上述人员均需提供本项目组成员劳务合同及社保证明（须半年以上），满分5分，提供不全的每人扣0.5分。</w:t>
            </w:r>
          </w:p>
          <w:p>
            <w:pPr>
              <w:spacing w:line="360" w:lineRule="auto"/>
              <w:jc w:val="left"/>
              <w:rPr>
                <w:rFonts w:ascii="宋体" w:hAnsi="宋体" w:eastAsia="宋体"/>
              </w:rPr>
            </w:pPr>
            <w:r>
              <w:rPr>
                <w:rFonts w:hint="eastAsia" w:ascii="宋体" w:hAnsi="宋体" w:eastAsia="宋体"/>
              </w:rPr>
              <w:t>（以上均须提供加盖投标人公章的证书复印件）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rPr>
            </w:pPr>
            <w:r>
              <w:rPr>
                <w:rFonts w:hint="eastAsia" w:ascii="宋体" w:hAnsi="宋体" w:eastAsia="宋体"/>
              </w:rPr>
              <w:t>综合保障能力</w:t>
            </w:r>
          </w:p>
        </w:tc>
        <w:tc>
          <w:tcPr>
            <w:tcW w:w="708" w:type="dxa"/>
            <w:vAlign w:val="center"/>
          </w:tcPr>
          <w:p>
            <w:pPr>
              <w:spacing w:line="360" w:lineRule="auto"/>
              <w:jc w:val="center"/>
              <w:rPr>
                <w:rFonts w:ascii="宋体" w:hAnsi="宋体" w:eastAsia="宋体"/>
              </w:rPr>
            </w:pPr>
            <w:r>
              <w:rPr>
                <w:rFonts w:hint="eastAsia" w:ascii="宋体" w:hAnsi="宋体" w:eastAsia="宋体"/>
                <w:lang w:val="en-US" w:eastAsia="zh-CN"/>
              </w:rPr>
              <w:t>9</w:t>
            </w:r>
            <w:r>
              <w:rPr>
                <w:rFonts w:hint="eastAsia" w:ascii="宋体" w:hAnsi="宋体" w:eastAsia="宋体"/>
              </w:rPr>
              <w:t>分</w:t>
            </w:r>
          </w:p>
        </w:tc>
        <w:tc>
          <w:tcPr>
            <w:tcW w:w="6713" w:type="dxa"/>
            <w:vAlign w:val="center"/>
          </w:tcPr>
          <w:p>
            <w:pPr>
              <w:spacing w:line="360" w:lineRule="auto"/>
              <w:jc w:val="left"/>
              <w:rPr>
                <w:rFonts w:ascii="宋体" w:hAnsi="宋体" w:eastAsia="宋体"/>
              </w:rPr>
            </w:pPr>
            <w:r>
              <w:rPr>
                <w:rFonts w:ascii="宋体" w:hAnsi="宋体" w:eastAsia="宋体"/>
              </w:rPr>
              <w:t>根据投标人综合实力</w:t>
            </w:r>
            <w:r>
              <w:rPr>
                <w:rFonts w:hint="eastAsia" w:ascii="宋体" w:hAnsi="宋体" w:eastAsia="宋体"/>
              </w:rPr>
              <w:t>、</w:t>
            </w:r>
            <w:r>
              <w:rPr>
                <w:rFonts w:ascii="宋体" w:hAnsi="宋体" w:eastAsia="宋体"/>
              </w:rPr>
              <w:t>技术</w:t>
            </w:r>
            <w:r>
              <w:rPr>
                <w:rFonts w:hint="eastAsia" w:ascii="宋体" w:hAnsi="宋体" w:eastAsia="宋体"/>
              </w:rPr>
              <w:t>支持</w:t>
            </w:r>
            <w:r>
              <w:rPr>
                <w:rFonts w:ascii="宋体" w:hAnsi="宋体" w:eastAsia="宋体"/>
              </w:rPr>
              <w:t>能力</w:t>
            </w:r>
            <w:r>
              <w:rPr>
                <w:rFonts w:hint="eastAsia" w:ascii="宋体" w:hAnsi="宋体" w:eastAsia="宋体"/>
              </w:rPr>
              <w:t>、信誉资质荣誉等</w:t>
            </w:r>
            <w:r>
              <w:rPr>
                <w:rFonts w:ascii="宋体" w:hAnsi="宋体" w:eastAsia="宋体"/>
              </w:rPr>
              <w:t>打分</w:t>
            </w:r>
            <w:r>
              <w:rPr>
                <w:rFonts w:hint="eastAsia" w:ascii="宋体" w:hAnsi="宋体" w:eastAsia="宋体"/>
              </w:rPr>
              <w:t>：</w:t>
            </w:r>
          </w:p>
          <w:p>
            <w:pPr>
              <w:spacing w:line="360" w:lineRule="auto"/>
              <w:ind w:firstLine="420" w:firstLineChars="200"/>
              <w:jc w:val="left"/>
              <w:rPr>
                <w:rFonts w:ascii="宋体" w:hAnsi="宋体" w:eastAsia="宋体"/>
              </w:rPr>
            </w:pPr>
            <w:r>
              <w:rPr>
                <w:rFonts w:hint="eastAsia" w:ascii="宋体" w:hAnsi="宋体" w:eastAsia="宋体"/>
              </w:rPr>
              <w:t>投标人项目质量控制保障体系，具备ISO9001、ISO14001、ISO20000、ISO27001认证，每有一项得1分，满分4分；</w:t>
            </w:r>
          </w:p>
          <w:p>
            <w:pPr>
              <w:spacing w:line="360" w:lineRule="auto"/>
              <w:ind w:firstLine="420" w:firstLineChars="200"/>
              <w:jc w:val="left"/>
              <w:rPr>
                <w:rFonts w:hint="eastAsia" w:ascii="宋体" w:hAnsi="宋体" w:eastAsia="宋体"/>
                <w:color w:val="FF0000"/>
                <w:lang w:eastAsia="zh-CN"/>
              </w:rPr>
            </w:pPr>
            <w:r>
              <w:rPr>
                <w:rFonts w:hint="eastAsia" w:ascii="宋体" w:hAnsi="宋体" w:eastAsia="宋体"/>
                <w:color w:val="FF0000"/>
              </w:rPr>
              <w:t>投标人具备软硬件系统集成服务能力，提供中国电子信息行业联合会等颁发的信息系统集成及服务资质证书贰级及以上资质的得2分，叁级资质的得1分，其他情况，该项不得分；</w:t>
            </w:r>
            <w:r>
              <w:rPr>
                <w:rFonts w:hint="eastAsia" w:ascii="宋体" w:hAnsi="宋体" w:eastAsia="宋体"/>
                <w:b/>
                <w:bCs/>
                <w:color w:val="FF0000"/>
                <w:lang w:eastAsia="zh-CN"/>
              </w:rPr>
              <w:t>（这个不能作为加分项）</w:t>
            </w:r>
          </w:p>
          <w:p>
            <w:pPr>
              <w:spacing w:line="360" w:lineRule="auto"/>
              <w:ind w:firstLine="420" w:firstLineChars="200"/>
              <w:jc w:val="left"/>
              <w:rPr>
                <w:rFonts w:ascii="宋体" w:hAnsi="宋体" w:eastAsia="宋体"/>
              </w:rPr>
            </w:pPr>
            <w:r>
              <w:rPr>
                <w:rFonts w:hint="eastAsia" w:ascii="宋体" w:hAnsi="宋体" w:eastAsia="宋体"/>
              </w:rPr>
              <w:t>投标人同时具有自动监控系统（水）运行服务能力一级证书、现场端信息系统运行服务能力证书的得2分，提供其中一项证书的得1分，其他情况该项不得分；</w:t>
            </w:r>
          </w:p>
          <w:p>
            <w:pPr>
              <w:spacing w:line="360" w:lineRule="auto"/>
              <w:ind w:firstLine="420" w:firstLineChars="200"/>
              <w:jc w:val="left"/>
              <w:rPr>
                <w:rFonts w:ascii="宋体" w:hAnsi="宋体" w:eastAsia="宋体"/>
              </w:rPr>
            </w:pPr>
            <w:r>
              <w:rPr>
                <w:rFonts w:hint="eastAsia" w:ascii="宋体" w:hAnsi="宋体" w:eastAsia="宋体"/>
              </w:rPr>
              <w:t>投标人提供近三年的省级及以上重合同守信用企业称号，每提供一</w:t>
            </w:r>
            <w:r>
              <w:rPr>
                <w:rFonts w:hint="eastAsia" w:ascii="宋体" w:hAnsi="宋体" w:eastAsia="宋体"/>
                <w:lang w:eastAsia="zh-CN"/>
              </w:rPr>
              <w:t>年</w:t>
            </w:r>
            <w:r>
              <w:rPr>
                <w:rFonts w:hint="eastAsia" w:ascii="宋体" w:hAnsi="宋体" w:eastAsia="宋体"/>
              </w:rPr>
              <w:t>得1分，满分</w:t>
            </w:r>
            <w:r>
              <w:rPr>
                <w:rFonts w:hint="eastAsia" w:ascii="宋体" w:hAnsi="宋体" w:eastAsia="宋体"/>
                <w:lang w:val="en-US" w:eastAsia="zh-CN"/>
              </w:rPr>
              <w:t>3</w:t>
            </w:r>
            <w:r>
              <w:rPr>
                <w:rFonts w:hint="eastAsia" w:ascii="宋体" w:hAnsi="宋体" w:eastAsia="宋体"/>
              </w:rPr>
              <w:t>分。</w:t>
            </w:r>
          </w:p>
          <w:p>
            <w:pPr>
              <w:spacing w:line="360" w:lineRule="auto"/>
              <w:jc w:val="left"/>
              <w:rPr>
                <w:rFonts w:ascii="宋体" w:hAnsi="宋体" w:eastAsia="宋体"/>
              </w:rPr>
            </w:pPr>
            <w:r>
              <w:rPr>
                <w:rFonts w:hint="eastAsia" w:ascii="宋体" w:hAnsi="宋体" w:eastAsia="宋体"/>
              </w:rPr>
              <w:t>（以上均须提供加盖投标人公章的证书复印件）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rPr>
            </w:pPr>
            <w:r>
              <w:rPr>
                <w:rFonts w:hint="eastAsia" w:ascii="宋体" w:hAnsi="宋体" w:eastAsia="宋体"/>
              </w:rPr>
              <w:t>相关业绩</w:t>
            </w:r>
          </w:p>
        </w:tc>
        <w:tc>
          <w:tcPr>
            <w:tcW w:w="708" w:type="dxa"/>
            <w:vAlign w:val="center"/>
          </w:tcPr>
          <w:p>
            <w:pPr>
              <w:spacing w:line="360" w:lineRule="auto"/>
              <w:jc w:val="center"/>
              <w:rPr>
                <w:rFonts w:ascii="宋体" w:hAnsi="宋体" w:eastAsia="宋体"/>
              </w:rPr>
            </w:pPr>
            <w:r>
              <w:rPr>
                <w:rFonts w:hint="eastAsia" w:ascii="宋体" w:hAnsi="宋体" w:eastAsia="宋体"/>
              </w:rPr>
              <w:t>10分</w:t>
            </w:r>
          </w:p>
        </w:tc>
        <w:tc>
          <w:tcPr>
            <w:tcW w:w="6713" w:type="dxa"/>
            <w:vAlign w:val="center"/>
          </w:tcPr>
          <w:p>
            <w:pPr>
              <w:spacing w:line="360" w:lineRule="auto"/>
              <w:jc w:val="left"/>
              <w:rPr>
                <w:rFonts w:ascii="宋体" w:hAnsi="宋体" w:eastAsia="宋体"/>
              </w:rPr>
            </w:pPr>
            <w:r>
              <w:rPr>
                <w:rFonts w:hint="eastAsia" w:ascii="宋体" w:hAnsi="宋体" w:eastAsia="宋体"/>
              </w:rPr>
              <w:t>近三年投标人直接与政府客户签订的同类型项目业绩，</w:t>
            </w:r>
            <w:r>
              <w:rPr>
                <w:rFonts w:ascii="宋体" w:hAnsi="宋体" w:eastAsia="宋体"/>
              </w:rPr>
              <w:t>提供中标通知书和合同，</w:t>
            </w:r>
            <w:r>
              <w:rPr>
                <w:rFonts w:hint="eastAsia" w:ascii="宋体" w:hAnsi="宋体" w:eastAsia="宋体"/>
              </w:rPr>
              <w:t>每提供一个国家级业绩得2分，每提供一个省级业绩得1分，每提供一个市级业绩得0.5分，满分10分。（须提供加盖投标人公章的证书复印件）</w:t>
            </w:r>
          </w:p>
        </w:tc>
      </w:tr>
    </w:tbl>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B包:</w:t>
      </w:r>
    </w:p>
    <w:tbl>
      <w:tblPr>
        <w:tblStyle w:val="2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eastAsia="宋体"/>
                <w:b/>
              </w:rPr>
            </w:pPr>
            <w:r>
              <w:rPr>
                <w:rFonts w:hint="eastAsia" w:ascii="宋体" w:hAnsi="宋体" w:eastAsia="宋体"/>
                <w:b/>
              </w:rPr>
              <w:t>项目</w:t>
            </w:r>
          </w:p>
        </w:tc>
        <w:tc>
          <w:tcPr>
            <w:tcW w:w="708" w:type="dxa"/>
            <w:vAlign w:val="center"/>
          </w:tcPr>
          <w:p>
            <w:pPr>
              <w:spacing w:line="360" w:lineRule="auto"/>
              <w:jc w:val="center"/>
              <w:rPr>
                <w:rFonts w:ascii="宋体" w:hAnsi="宋体" w:eastAsia="宋体"/>
                <w:b/>
              </w:rPr>
            </w:pPr>
            <w:r>
              <w:rPr>
                <w:rFonts w:hint="eastAsia" w:ascii="宋体" w:hAnsi="宋体" w:eastAsia="宋体"/>
                <w:b/>
              </w:rPr>
              <w:t>分值</w:t>
            </w:r>
          </w:p>
        </w:tc>
        <w:tc>
          <w:tcPr>
            <w:tcW w:w="6713" w:type="dxa"/>
            <w:vAlign w:val="center"/>
          </w:tcPr>
          <w:p>
            <w:pPr>
              <w:spacing w:line="360" w:lineRule="auto"/>
              <w:jc w:val="center"/>
              <w:rPr>
                <w:rFonts w:ascii="宋体" w:hAnsi="宋体" w:eastAsia="宋体"/>
                <w:b/>
              </w:rPr>
            </w:pPr>
            <w:r>
              <w:rPr>
                <w:rFonts w:hint="eastAsia" w:ascii="宋体" w:hAnsi="宋体" w:eastAsia="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eastAsia="宋体"/>
              </w:rPr>
            </w:pPr>
            <w:r>
              <w:rPr>
                <w:rFonts w:hint="eastAsia" w:ascii="宋体" w:hAnsi="宋体" w:eastAsia="宋体"/>
              </w:rPr>
              <w:t>价格</w:t>
            </w:r>
          </w:p>
        </w:tc>
        <w:tc>
          <w:tcPr>
            <w:tcW w:w="708" w:type="dxa"/>
            <w:vAlign w:val="center"/>
          </w:tcPr>
          <w:p>
            <w:pPr>
              <w:spacing w:line="360" w:lineRule="auto"/>
              <w:jc w:val="center"/>
              <w:rPr>
                <w:rFonts w:ascii="宋体" w:hAnsi="宋体" w:eastAsia="宋体"/>
              </w:rPr>
            </w:pPr>
            <w:r>
              <w:rPr>
                <w:rFonts w:hint="eastAsia" w:ascii="宋体" w:hAnsi="宋体" w:eastAsia="宋体"/>
              </w:rPr>
              <w:t>20分</w:t>
            </w:r>
          </w:p>
        </w:tc>
        <w:tc>
          <w:tcPr>
            <w:tcW w:w="6713" w:type="dxa"/>
            <w:vAlign w:val="center"/>
          </w:tcPr>
          <w:p>
            <w:pPr>
              <w:spacing w:line="360" w:lineRule="auto"/>
              <w:jc w:val="left"/>
              <w:rPr>
                <w:rFonts w:ascii="宋体" w:hAnsi="宋体" w:eastAsia="宋体"/>
              </w:rPr>
            </w:pPr>
            <w:r>
              <w:rPr>
                <w:rFonts w:hint="eastAsia" w:ascii="宋体" w:hAnsi="宋体" w:eastAsia="宋体"/>
              </w:rPr>
              <w:t>以满足采购文件要求且报价最低的供应商最终报价为评审基准价，其价格分为满分20分，其他投标人的价格按照下列公式计算：报价得分=（评审基准价/供应商最终报价）×20。</w:t>
            </w:r>
          </w:p>
          <w:p>
            <w:pPr>
              <w:spacing w:line="360" w:lineRule="auto"/>
              <w:jc w:val="left"/>
              <w:rPr>
                <w:rFonts w:ascii="宋体" w:hAnsi="宋体" w:eastAsia="宋体"/>
              </w:rPr>
            </w:pPr>
            <w:r>
              <w:rPr>
                <w:rFonts w:hint="eastAsia" w:ascii="宋体" w:hAnsi="宋体" w:eastAsia="宋体"/>
              </w:rPr>
              <w:t>备注：1.投标人投标报价超出最高限价（财政预算），将作废标处理。</w:t>
            </w:r>
            <w:r>
              <w:rPr>
                <w:rFonts w:hint="eastAsia" w:ascii="宋体" w:hAnsi="宋体" w:eastAsia="宋体"/>
                <w:lang w:val="en-US" w:eastAsia="zh-CN"/>
              </w:rPr>
              <w:t>2</w:t>
            </w:r>
            <w:r>
              <w:rPr>
                <w:rFonts w:hint="eastAsia" w:ascii="宋体" w:hAnsi="宋体" w:eastAsia="宋体"/>
              </w:rPr>
              <w:t>.如果评委发现投标人的报价明显低于其他合理投标报价，将要求该投标人做书面说明并提供相关证明材料，如投标人不能合理说明或不能提供相关证明材料的，评审委员会可将其定为无效投标或确定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eastAsia="宋体"/>
              </w:rPr>
            </w:pPr>
            <w:r>
              <w:rPr>
                <w:rFonts w:hint="eastAsia" w:ascii="宋体" w:hAnsi="宋体" w:eastAsia="宋体"/>
              </w:rPr>
              <w:t>服务方案</w:t>
            </w:r>
          </w:p>
        </w:tc>
        <w:tc>
          <w:tcPr>
            <w:tcW w:w="708" w:type="dxa"/>
            <w:vAlign w:val="center"/>
          </w:tcPr>
          <w:p>
            <w:pPr>
              <w:spacing w:line="360" w:lineRule="auto"/>
              <w:jc w:val="center"/>
              <w:rPr>
                <w:rFonts w:ascii="宋体" w:hAnsi="宋体" w:eastAsia="宋体"/>
              </w:rPr>
            </w:pPr>
            <w:r>
              <w:rPr>
                <w:rFonts w:hint="eastAsia" w:ascii="宋体" w:hAnsi="宋体" w:eastAsia="宋体"/>
              </w:rPr>
              <w:t>20分</w:t>
            </w:r>
          </w:p>
        </w:tc>
        <w:tc>
          <w:tcPr>
            <w:tcW w:w="6713" w:type="dxa"/>
            <w:vAlign w:val="center"/>
          </w:tcPr>
          <w:p>
            <w:pPr>
              <w:spacing w:line="360" w:lineRule="auto"/>
              <w:jc w:val="left"/>
              <w:rPr>
                <w:rFonts w:hint="eastAsia" w:ascii="宋体" w:hAnsi="宋体" w:eastAsia="宋体"/>
                <w:color w:val="FF0000"/>
              </w:rPr>
            </w:pPr>
            <w:r>
              <w:rPr>
                <w:rFonts w:hint="eastAsia" w:ascii="宋体" w:hAnsi="宋体" w:eastAsia="宋体"/>
                <w:color w:val="FF0000"/>
              </w:rPr>
              <w:t>根据投标人提报的技术方案科学性、完整性、方案可行性及采购文件响应情况</w:t>
            </w:r>
            <w:r>
              <w:rPr>
                <w:rFonts w:hint="eastAsia" w:ascii="宋体" w:hAnsi="宋体" w:eastAsia="宋体"/>
                <w:color w:val="FF0000"/>
                <w:lang w:eastAsia="zh-CN"/>
              </w:rPr>
              <w:t>以上内容</w:t>
            </w:r>
            <w:r>
              <w:rPr>
                <w:rFonts w:hint="eastAsia" w:ascii="宋体" w:hAnsi="宋体" w:eastAsia="宋体"/>
                <w:color w:val="FF0000"/>
              </w:rPr>
              <w:t>能充分满足采购人要求的，得1</w:t>
            </w:r>
            <w:r>
              <w:rPr>
                <w:rFonts w:hint="eastAsia" w:ascii="宋体" w:hAnsi="宋体" w:eastAsia="宋体"/>
                <w:color w:val="FF0000"/>
                <w:lang w:val="en-US" w:eastAsia="zh-CN"/>
              </w:rPr>
              <w:t>4</w:t>
            </w:r>
            <w:r>
              <w:rPr>
                <w:rFonts w:hint="eastAsia" w:ascii="宋体" w:hAnsi="宋体" w:eastAsia="宋体"/>
                <w:color w:val="FF0000"/>
              </w:rPr>
              <w:t>-</w:t>
            </w:r>
            <w:r>
              <w:rPr>
                <w:rFonts w:hint="eastAsia" w:ascii="宋体" w:hAnsi="宋体" w:eastAsia="宋体"/>
                <w:color w:val="FF0000"/>
                <w:lang w:val="en-US" w:eastAsia="zh-CN"/>
              </w:rPr>
              <w:t>18</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根据投标人提报的技术方案科学性、完整性、方案可行性及采购文件响应情况</w:t>
            </w:r>
            <w:r>
              <w:rPr>
                <w:rFonts w:hint="eastAsia" w:ascii="宋体" w:hAnsi="宋体" w:eastAsia="宋体"/>
                <w:color w:val="FF0000"/>
                <w:lang w:eastAsia="zh-CN"/>
              </w:rPr>
              <w:t>以上内容情况一般，基本满足采购人要求的</w:t>
            </w:r>
            <w:r>
              <w:rPr>
                <w:rFonts w:hint="eastAsia" w:ascii="宋体" w:hAnsi="宋体" w:eastAsia="宋体"/>
                <w:color w:val="FF0000"/>
              </w:rPr>
              <w:t>，得</w:t>
            </w:r>
            <w:r>
              <w:rPr>
                <w:rFonts w:hint="eastAsia" w:ascii="宋体" w:hAnsi="宋体" w:eastAsia="宋体"/>
                <w:color w:val="FF0000"/>
                <w:lang w:val="en-US" w:eastAsia="zh-CN"/>
              </w:rPr>
              <w:t>9</w:t>
            </w:r>
            <w:r>
              <w:rPr>
                <w:rFonts w:hint="eastAsia" w:ascii="宋体" w:hAnsi="宋体" w:eastAsia="宋体"/>
                <w:color w:val="FF0000"/>
              </w:rPr>
              <w:t>-</w:t>
            </w:r>
            <w:r>
              <w:rPr>
                <w:rFonts w:hint="eastAsia" w:ascii="宋体" w:hAnsi="宋体" w:eastAsia="宋体"/>
                <w:color w:val="FF0000"/>
                <w:lang w:val="en-US" w:eastAsia="zh-CN"/>
              </w:rPr>
              <w:t>13</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根据投标人提报的技术方案科学性、完整性、方案可行性及采购文件响应情况</w:t>
            </w:r>
            <w:r>
              <w:rPr>
                <w:rFonts w:hint="eastAsia" w:ascii="宋体" w:hAnsi="宋体" w:eastAsia="宋体"/>
                <w:color w:val="FF0000"/>
                <w:lang w:eastAsia="zh-CN"/>
              </w:rPr>
              <w:t>以上内容情况差，基本无法满足采购人要求的</w:t>
            </w:r>
            <w:r>
              <w:rPr>
                <w:rFonts w:hint="eastAsia" w:ascii="宋体" w:hAnsi="宋体" w:eastAsia="宋体"/>
                <w:color w:val="FF0000"/>
              </w:rPr>
              <w:t>，得</w:t>
            </w:r>
            <w:r>
              <w:rPr>
                <w:rFonts w:hint="eastAsia" w:ascii="宋体" w:hAnsi="宋体" w:eastAsia="宋体"/>
                <w:color w:val="FF0000"/>
                <w:lang w:val="en-US" w:eastAsia="zh-CN"/>
              </w:rPr>
              <w:t>4</w:t>
            </w:r>
            <w:r>
              <w:rPr>
                <w:rFonts w:hint="eastAsia" w:ascii="宋体" w:hAnsi="宋体" w:eastAsia="宋体"/>
                <w:color w:val="FF0000"/>
              </w:rPr>
              <w:t>-</w:t>
            </w:r>
            <w:r>
              <w:rPr>
                <w:rFonts w:hint="eastAsia" w:ascii="宋体" w:hAnsi="宋体" w:eastAsia="宋体"/>
                <w:color w:val="FF0000"/>
                <w:lang w:val="en-US" w:eastAsia="zh-CN"/>
              </w:rPr>
              <w:t>8</w:t>
            </w:r>
            <w:r>
              <w:rPr>
                <w:rFonts w:hint="eastAsia" w:ascii="宋体" w:hAnsi="宋体" w:eastAsia="宋体"/>
                <w:color w:val="FF0000"/>
              </w:rPr>
              <w:t>分；</w:t>
            </w:r>
          </w:p>
          <w:p>
            <w:pPr>
              <w:spacing w:line="360" w:lineRule="auto"/>
              <w:jc w:val="left"/>
              <w:rPr>
                <w:rFonts w:ascii="宋体" w:hAnsi="宋体" w:eastAsia="宋体"/>
              </w:rPr>
            </w:pPr>
            <w:r>
              <w:rPr>
                <w:rFonts w:hint="eastAsia" w:ascii="宋体" w:hAnsi="宋体" w:eastAsia="宋体"/>
                <w:color w:val="FF0000"/>
                <w:lang w:eastAsia="zh-CN"/>
              </w:rPr>
              <w:t>注：缺项不得分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eastAsia="宋体"/>
              </w:rPr>
            </w:pPr>
            <w:r>
              <w:rPr>
                <w:rFonts w:hint="eastAsia" w:ascii="宋体" w:hAnsi="宋体" w:eastAsia="宋体"/>
              </w:rPr>
              <w:t>工期及保障方案</w:t>
            </w:r>
          </w:p>
        </w:tc>
        <w:tc>
          <w:tcPr>
            <w:tcW w:w="708" w:type="dxa"/>
            <w:vAlign w:val="center"/>
          </w:tcPr>
          <w:p>
            <w:pPr>
              <w:spacing w:line="360" w:lineRule="auto"/>
              <w:jc w:val="center"/>
              <w:rPr>
                <w:rFonts w:ascii="宋体" w:hAnsi="宋体" w:eastAsia="宋体"/>
              </w:rPr>
            </w:pPr>
            <w:r>
              <w:rPr>
                <w:rFonts w:hint="eastAsia" w:ascii="宋体" w:hAnsi="宋体" w:eastAsia="宋体"/>
              </w:rPr>
              <w:t>10分</w:t>
            </w:r>
          </w:p>
        </w:tc>
        <w:tc>
          <w:tcPr>
            <w:tcW w:w="6713" w:type="dxa"/>
            <w:vAlign w:val="center"/>
          </w:tcPr>
          <w:p>
            <w:pPr>
              <w:spacing w:line="360" w:lineRule="auto"/>
              <w:jc w:val="left"/>
              <w:rPr>
                <w:rFonts w:hint="eastAsia" w:ascii="宋体" w:hAnsi="宋体" w:eastAsia="宋体"/>
                <w:color w:val="FF0000"/>
              </w:rPr>
            </w:pPr>
            <w:r>
              <w:rPr>
                <w:rFonts w:hint="eastAsia" w:ascii="宋体" w:hAnsi="宋体" w:eastAsia="宋体"/>
                <w:color w:val="FF0000"/>
              </w:rPr>
              <w:t>根据投标人时间安排、工作计划、确保项目按时按要求完成的保障措施等的科学性、合理性等可操作性强</w:t>
            </w:r>
            <w:r>
              <w:rPr>
                <w:rFonts w:hint="eastAsia" w:ascii="宋体" w:hAnsi="宋体" w:eastAsia="宋体"/>
                <w:color w:val="FF0000"/>
                <w:lang w:eastAsia="zh-CN"/>
              </w:rPr>
              <w:t>得</w:t>
            </w:r>
            <w:r>
              <w:rPr>
                <w:rFonts w:hint="eastAsia" w:ascii="宋体" w:hAnsi="宋体" w:eastAsia="宋体"/>
                <w:color w:val="FF0000"/>
                <w:lang w:val="en-US" w:eastAsia="zh-CN"/>
              </w:rPr>
              <w:t>9-</w:t>
            </w:r>
            <w:r>
              <w:rPr>
                <w:rFonts w:hint="eastAsia" w:ascii="宋体" w:hAnsi="宋体" w:eastAsia="宋体"/>
                <w:color w:val="FF0000"/>
              </w:rPr>
              <w:t>1</w:t>
            </w:r>
            <w:r>
              <w:rPr>
                <w:rFonts w:hint="eastAsia" w:ascii="宋体" w:hAnsi="宋体" w:eastAsia="宋体"/>
                <w:color w:val="FF0000"/>
                <w:lang w:val="en-US" w:eastAsia="zh-CN"/>
              </w:rPr>
              <w:t>3</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根据投标人时间安排、工作计划、确保项目按时按要求完成的保障措施等的科学性、合理性等可操作性分较强</w:t>
            </w:r>
            <w:r>
              <w:rPr>
                <w:rFonts w:hint="eastAsia" w:ascii="宋体" w:hAnsi="宋体" w:eastAsia="宋体"/>
                <w:color w:val="FF0000"/>
                <w:lang w:eastAsia="zh-CN"/>
              </w:rPr>
              <w:t>得</w:t>
            </w:r>
            <w:r>
              <w:rPr>
                <w:rFonts w:hint="eastAsia" w:ascii="宋体" w:hAnsi="宋体" w:eastAsia="宋体"/>
                <w:color w:val="FF0000"/>
                <w:lang w:val="en-US" w:eastAsia="zh-CN"/>
              </w:rPr>
              <w:t>5-9</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根据投标人时间安排、工作计划、确保项目按时按要求完成的保障措施等的科学性、合理性等不具有可操作性</w:t>
            </w:r>
            <w:r>
              <w:rPr>
                <w:rFonts w:hint="eastAsia" w:ascii="宋体" w:hAnsi="宋体" w:eastAsia="宋体"/>
                <w:color w:val="FF0000"/>
                <w:lang w:eastAsia="zh-CN"/>
              </w:rPr>
              <w:t>得</w:t>
            </w:r>
            <w:r>
              <w:rPr>
                <w:rFonts w:hint="eastAsia" w:ascii="宋体" w:hAnsi="宋体" w:eastAsia="宋体"/>
                <w:color w:val="FF0000"/>
                <w:lang w:val="en-US" w:eastAsia="zh-CN"/>
              </w:rPr>
              <w:t>2-5</w:t>
            </w:r>
            <w:r>
              <w:rPr>
                <w:rFonts w:hint="eastAsia" w:ascii="宋体" w:hAnsi="宋体" w:eastAsia="宋体"/>
                <w:color w:val="FF0000"/>
              </w:rPr>
              <w:t>分。</w:t>
            </w:r>
          </w:p>
          <w:p>
            <w:pPr>
              <w:spacing w:line="360" w:lineRule="auto"/>
              <w:jc w:val="left"/>
              <w:rPr>
                <w:rFonts w:ascii="宋体" w:hAnsi="宋体" w:eastAsia="宋体"/>
              </w:rPr>
            </w:pPr>
            <w:r>
              <w:rPr>
                <w:rFonts w:hint="eastAsia" w:ascii="宋体" w:hAnsi="宋体" w:eastAsia="宋体"/>
                <w:color w:val="FF0000"/>
                <w:lang w:eastAsia="zh-CN"/>
              </w:rPr>
              <w:t>注：缺项不得分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eastAsia="宋体"/>
              </w:rPr>
            </w:pPr>
            <w:r>
              <w:rPr>
                <w:rFonts w:hint="eastAsia" w:ascii="宋体" w:hAnsi="宋体" w:eastAsia="宋体"/>
              </w:rPr>
              <w:t>售后服务承诺</w:t>
            </w:r>
          </w:p>
        </w:tc>
        <w:tc>
          <w:tcPr>
            <w:tcW w:w="708" w:type="dxa"/>
            <w:vAlign w:val="center"/>
          </w:tcPr>
          <w:p>
            <w:pPr>
              <w:spacing w:line="360" w:lineRule="auto"/>
              <w:jc w:val="center"/>
              <w:rPr>
                <w:rFonts w:ascii="宋体" w:hAnsi="宋体" w:eastAsia="宋体"/>
              </w:rPr>
            </w:pPr>
            <w:r>
              <w:rPr>
                <w:rFonts w:hint="eastAsia" w:ascii="宋体" w:hAnsi="宋体" w:eastAsia="宋体"/>
              </w:rPr>
              <w:t>10分</w:t>
            </w:r>
          </w:p>
        </w:tc>
        <w:tc>
          <w:tcPr>
            <w:tcW w:w="6713" w:type="dxa"/>
            <w:vAlign w:val="center"/>
          </w:tcPr>
          <w:p>
            <w:pPr>
              <w:spacing w:line="360" w:lineRule="auto"/>
              <w:jc w:val="left"/>
              <w:rPr>
                <w:rFonts w:ascii="宋体" w:hAnsi="宋体" w:eastAsia="宋体"/>
              </w:rPr>
            </w:pPr>
            <w:r>
              <w:rPr>
                <w:rFonts w:hint="eastAsia" w:ascii="宋体" w:hAnsi="宋体" w:eastAsia="宋体"/>
                <w:color w:val="FF0000"/>
              </w:rPr>
              <w:t>保障本项目后续相关工作需求，投标人需提供售后服务承诺。根据投标人提供的服务承诺打分，</w:t>
            </w:r>
            <w:r>
              <w:rPr>
                <w:rFonts w:hint="eastAsia" w:ascii="宋体" w:hAnsi="宋体" w:eastAsia="宋体"/>
                <w:color w:val="FF0000"/>
                <w:lang w:eastAsia="zh-CN"/>
              </w:rPr>
              <w:t>每有一条经评标小组评定并经招标单位实质性认可得</w:t>
            </w:r>
            <w:r>
              <w:rPr>
                <w:rFonts w:hint="eastAsia" w:ascii="宋体" w:hAnsi="宋体" w:eastAsia="宋体"/>
                <w:color w:val="FF0000"/>
                <w:lang w:val="en-US" w:eastAsia="zh-CN"/>
              </w:rPr>
              <w:t>2分，本项满分10分</w:t>
            </w:r>
            <w:r>
              <w:rPr>
                <w:rFonts w:hint="eastAsia" w:ascii="宋体" w:hAnsi="宋体" w:eastAsia="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eastAsia="宋体"/>
              </w:rPr>
            </w:pPr>
            <w:r>
              <w:rPr>
                <w:rFonts w:hint="eastAsia" w:ascii="宋体" w:hAnsi="宋体" w:eastAsia="宋体"/>
              </w:rPr>
              <w:t>服务团队</w:t>
            </w:r>
          </w:p>
        </w:tc>
        <w:tc>
          <w:tcPr>
            <w:tcW w:w="708" w:type="dxa"/>
            <w:vAlign w:val="center"/>
          </w:tcPr>
          <w:p>
            <w:pPr>
              <w:spacing w:line="360" w:lineRule="auto"/>
              <w:jc w:val="center"/>
              <w:rPr>
                <w:rFonts w:ascii="宋体" w:hAnsi="宋体" w:eastAsia="宋体"/>
              </w:rPr>
            </w:pPr>
            <w:r>
              <w:rPr>
                <w:rFonts w:hint="eastAsia" w:ascii="宋体" w:hAnsi="宋体" w:eastAsia="宋体"/>
              </w:rPr>
              <w:t>20分</w:t>
            </w:r>
          </w:p>
        </w:tc>
        <w:tc>
          <w:tcPr>
            <w:tcW w:w="6713" w:type="dxa"/>
            <w:vAlign w:val="center"/>
          </w:tcPr>
          <w:p>
            <w:pPr>
              <w:spacing w:line="360" w:lineRule="auto"/>
              <w:jc w:val="left"/>
              <w:rPr>
                <w:rFonts w:ascii="宋体" w:hAnsi="宋体" w:eastAsia="宋体"/>
              </w:rPr>
            </w:pPr>
            <w:r>
              <w:rPr>
                <w:rFonts w:hint="eastAsia" w:ascii="宋体" w:hAnsi="宋体" w:eastAsia="宋体"/>
              </w:rPr>
              <w:t>根据投标人制定的人员配备计划，人员数量、人员技术水平以及合理性等进行综合打分</w:t>
            </w:r>
            <w:r>
              <w:rPr>
                <w:rFonts w:hint="eastAsia" w:ascii="宋体" w:hAnsi="宋体" w:eastAsia="宋体"/>
                <w:color w:val="FF0000"/>
                <w:lang w:eastAsia="zh-CN"/>
              </w:rPr>
              <w:t>得</w:t>
            </w:r>
            <w:r>
              <w:rPr>
                <w:rFonts w:hint="eastAsia" w:ascii="宋体" w:hAnsi="宋体" w:eastAsia="宋体"/>
                <w:color w:val="FF0000"/>
                <w:lang w:val="en-US" w:eastAsia="zh-CN"/>
              </w:rPr>
              <w:t>1-</w:t>
            </w:r>
            <w:r>
              <w:rPr>
                <w:rFonts w:hint="eastAsia" w:ascii="宋体" w:hAnsi="宋体" w:eastAsia="宋体"/>
                <w:color w:val="FF0000"/>
              </w:rPr>
              <w:t>5分；</w:t>
            </w:r>
          </w:p>
          <w:p>
            <w:pPr>
              <w:spacing w:line="360" w:lineRule="auto"/>
              <w:jc w:val="left"/>
              <w:rPr>
                <w:rFonts w:ascii="宋体" w:hAnsi="宋体" w:eastAsia="宋体"/>
              </w:rPr>
            </w:pPr>
            <w:r>
              <w:rPr>
                <w:rFonts w:hint="eastAsia" w:ascii="宋体" w:hAnsi="宋体" w:eastAsia="宋体"/>
              </w:rPr>
              <w:t>具有本项目相关专业硕士及以上学位的每人加1分，满分3分；</w:t>
            </w:r>
          </w:p>
          <w:p>
            <w:pPr>
              <w:spacing w:line="360" w:lineRule="auto"/>
              <w:jc w:val="left"/>
              <w:rPr>
                <w:rFonts w:ascii="宋体" w:hAnsi="宋体" w:eastAsia="宋体"/>
              </w:rPr>
            </w:pPr>
            <w:r>
              <w:rPr>
                <w:rFonts w:hint="eastAsia" w:ascii="宋体" w:hAnsi="宋体" w:eastAsia="宋体"/>
              </w:rPr>
              <w:t>具有本项目相关专业中级职称及以上的每人加1分，满分3分；</w:t>
            </w:r>
          </w:p>
          <w:p>
            <w:pPr>
              <w:spacing w:line="360" w:lineRule="auto"/>
              <w:jc w:val="left"/>
              <w:rPr>
                <w:rFonts w:ascii="宋体" w:hAnsi="宋体" w:eastAsia="宋体"/>
              </w:rPr>
            </w:pPr>
            <w:r>
              <w:rPr>
                <w:rFonts w:hint="eastAsia" w:ascii="宋体" w:hAnsi="宋体" w:eastAsia="宋体"/>
              </w:rPr>
              <w:t>投标人项目组成员中，具有自动监控（水）运行资质证书，每有1个得1分，最高得4分；</w:t>
            </w:r>
          </w:p>
          <w:p>
            <w:pPr>
              <w:spacing w:line="360" w:lineRule="auto"/>
              <w:jc w:val="left"/>
              <w:rPr>
                <w:rFonts w:ascii="宋体" w:hAnsi="宋体" w:eastAsia="宋体"/>
              </w:rPr>
            </w:pPr>
            <w:r>
              <w:rPr>
                <w:rFonts w:hint="eastAsia" w:ascii="宋体" w:hAnsi="宋体" w:eastAsia="宋体"/>
              </w:rPr>
              <w:t>上述人员均需提供本项目组成员劳务合同及社保证明（须半年以上），满分5分，提供不全的每人扣0.5分。</w:t>
            </w:r>
          </w:p>
          <w:p>
            <w:pPr>
              <w:spacing w:line="360" w:lineRule="auto"/>
              <w:jc w:val="left"/>
              <w:rPr>
                <w:rFonts w:ascii="宋体" w:hAnsi="宋体" w:eastAsia="宋体"/>
              </w:rPr>
            </w:pPr>
            <w:r>
              <w:rPr>
                <w:rFonts w:hint="eastAsia" w:ascii="宋体" w:hAnsi="宋体" w:eastAsia="宋体"/>
              </w:rPr>
              <w:t>（以上均须提供加盖投标人公章的证书复印件）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eastAsia="宋体"/>
                <w:color w:val="FF0000"/>
              </w:rPr>
            </w:pPr>
            <w:r>
              <w:rPr>
                <w:rFonts w:hint="eastAsia" w:ascii="宋体" w:hAnsi="宋体" w:eastAsia="宋体"/>
                <w:color w:val="FF0000"/>
              </w:rPr>
              <w:t>综合保障能力</w:t>
            </w:r>
          </w:p>
        </w:tc>
        <w:tc>
          <w:tcPr>
            <w:tcW w:w="708" w:type="dxa"/>
            <w:vAlign w:val="center"/>
          </w:tcPr>
          <w:p>
            <w:pPr>
              <w:spacing w:line="360" w:lineRule="auto"/>
              <w:jc w:val="center"/>
              <w:rPr>
                <w:rFonts w:ascii="宋体" w:hAnsi="宋体" w:eastAsia="宋体"/>
                <w:color w:val="FF0000"/>
              </w:rPr>
            </w:pPr>
            <w:r>
              <w:rPr>
                <w:rFonts w:hint="eastAsia" w:ascii="宋体" w:hAnsi="宋体" w:eastAsia="宋体"/>
                <w:color w:val="FF0000"/>
              </w:rPr>
              <w:t>10分</w:t>
            </w:r>
          </w:p>
        </w:tc>
        <w:tc>
          <w:tcPr>
            <w:tcW w:w="6713" w:type="dxa"/>
            <w:vAlign w:val="center"/>
          </w:tcPr>
          <w:p>
            <w:pPr>
              <w:spacing w:line="360" w:lineRule="auto"/>
              <w:jc w:val="left"/>
              <w:rPr>
                <w:rFonts w:hint="eastAsia" w:ascii="宋体" w:hAnsi="宋体" w:eastAsia="宋体"/>
                <w:color w:val="FF0000"/>
              </w:rPr>
            </w:pPr>
            <w:r>
              <w:rPr>
                <w:rFonts w:hint="eastAsia" w:ascii="宋体" w:hAnsi="宋体" w:eastAsia="宋体"/>
                <w:color w:val="FF0000"/>
              </w:rPr>
              <w:t>根据供应商提供的综合实力展示、资金及技术保障能力、信誉资质荣誉等综合打分针对性强，能够充分满足采购人需求</w:t>
            </w:r>
            <w:r>
              <w:rPr>
                <w:rFonts w:hint="eastAsia" w:ascii="宋体" w:hAnsi="宋体" w:eastAsia="宋体"/>
                <w:color w:val="FF0000"/>
                <w:lang w:eastAsia="zh-CN"/>
              </w:rPr>
              <w:t>得</w:t>
            </w:r>
            <w:r>
              <w:rPr>
                <w:rFonts w:hint="eastAsia" w:ascii="宋体" w:hAnsi="宋体" w:eastAsia="宋体"/>
                <w:color w:val="FF0000"/>
                <w:lang w:val="en-US" w:eastAsia="zh-CN"/>
              </w:rPr>
              <w:t>6-</w:t>
            </w:r>
            <w:r>
              <w:rPr>
                <w:rFonts w:hint="eastAsia" w:ascii="宋体" w:hAnsi="宋体" w:eastAsia="宋体"/>
                <w:color w:val="FF0000"/>
              </w:rPr>
              <w:t>10分。</w:t>
            </w:r>
          </w:p>
          <w:p>
            <w:pPr>
              <w:spacing w:line="360" w:lineRule="auto"/>
              <w:jc w:val="left"/>
              <w:rPr>
                <w:rFonts w:hint="eastAsia" w:ascii="宋体" w:hAnsi="宋体" w:eastAsia="宋体"/>
                <w:color w:val="FF0000"/>
              </w:rPr>
            </w:pPr>
            <w:r>
              <w:rPr>
                <w:rFonts w:hint="eastAsia" w:ascii="宋体" w:hAnsi="宋体" w:eastAsia="宋体"/>
                <w:color w:val="FF0000"/>
              </w:rPr>
              <w:t>根据供应商提供的综合实力展示、资金及技术保障能力、信誉资质荣誉等综合打分针对性</w:t>
            </w:r>
            <w:r>
              <w:rPr>
                <w:rFonts w:hint="eastAsia" w:ascii="宋体" w:hAnsi="宋体" w:eastAsia="宋体"/>
                <w:color w:val="FF0000"/>
                <w:lang w:eastAsia="zh-CN"/>
              </w:rPr>
              <w:t>一般</w:t>
            </w:r>
            <w:r>
              <w:rPr>
                <w:rFonts w:hint="eastAsia" w:ascii="宋体" w:hAnsi="宋体" w:eastAsia="宋体"/>
                <w:color w:val="FF0000"/>
              </w:rPr>
              <w:t>，</w:t>
            </w:r>
            <w:r>
              <w:rPr>
                <w:rFonts w:hint="eastAsia" w:ascii="宋体" w:hAnsi="宋体" w:eastAsia="宋体"/>
                <w:color w:val="FF0000"/>
                <w:lang w:eastAsia="zh-CN"/>
              </w:rPr>
              <w:t>基本</w:t>
            </w:r>
            <w:r>
              <w:rPr>
                <w:rFonts w:hint="eastAsia" w:ascii="宋体" w:hAnsi="宋体" w:eastAsia="宋体"/>
                <w:color w:val="FF0000"/>
              </w:rPr>
              <w:t>满足采购人需求</w:t>
            </w:r>
            <w:r>
              <w:rPr>
                <w:rFonts w:hint="eastAsia" w:ascii="宋体" w:hAnsi="宋体" w:eastAsia="宋体"/>
                <w:color w:val="FF0000"/>
                <w:lang w:eastAsia="zh-CN"/>
              </w:rPr>
              <w:t>得</w:t>
            </w:r>
            <w:r>
              <w:rPr>
                <w:rFonts w:hint="eastAsia" w:ascii="宋体" w:hAnsi="宋体" w:eastAsia="宋体"/>
                <w:color w:val="FF0000"/>
                <w:lang w:val="en-US" w:eastAsia="zh-CN"/>
              </w:rPr>
              <w:t>3-6</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根据供应商提供的综合实力展示、资金及技术保障能力、信誉资质荣誉等综合打分针对性</w:t>
            </w:r>
            <w:r>
              <w:rPr>
                <w:rFonts w:hint="eastAsia" w:ascii="宋体" w:hAnsi="宋体" w:eastAsia="宋体"/>
                <w:color w:val="FF0000"/>
                <w:lang w:eastAsia="zh-CN"/>
              </w:rPr>
              <w:t>差</w:t>
            </w:r>
            <w:r>
              <w:rPr>
                <w:rFonts w:hint="eastAsia" w:ascii="宋体" w:hAnsi="宋体" w:eastAsia="宋体"/>
                <w:color w:val="FF0000"/>
              </w:rPr>
              <w:t>，</w:t>
            </w:r>
            <w:r>
              <w:rPr>
                <w:rFonts w:hint="eastAsia" w:ascii="宋体" w:hAnsi="宋体" w:eastAsia="宋体"/>
                <w:color w:val="FF0000"/>
                <w:lang w:eastAsia="zh-CN"/>
              </w:rPr>
              <w:t>无法</w:t>
            </w:r>
            <w:r>
              <w:rPr>
                <w:rFonts w:hint="eastAsia" w:ascii="宋体" w:hAnsi="宋体" w:eastAsia="宋体"/>
                <w:color w:val="FF0000"/>
              </w:rPr>
              <w:t>满足采购人需求</w:t>
            </w:r>
            <w:r>
              <w:rPr>
                <w:rFonts w:hint="eastAsia" w:ascii="宋体" w:hAnsi="宋体" w:eastAsia="宋体"/>
                <w:color w:val="FF0000"/>
                <w:lang w:eastAsia="zh-CN"/>
              </w:rPr>
              <w:t>得</w:t>
            </w:r>
            <w:r>
              <w:rPr>
                <w:rFonts w:hint="eastAsia" w:ascii="宋体" w:hAnsi="宋体" w:eastAsia="宋体"/>
                <w:color w:val="FF0000"/>
                <w:lang w:val="en-US" w:eastAsia="zh-CN"/>
              </w:rPr>
              <w:t>1-3</w:t>
            </w:r>
            <w:r>
              <w:rPr>
                <w:rFonts w:hint="eastAsia" w:ascii="宋体" w:hAnsi="宋体" w:eastAsia="宋体"/>
                <w:color w:val="FF0000"/>
              </w:rPr>
              <w:t>分。</w:t>
            </w:r>
          </w:p>
          <w:p>
            <w:pPr>
              <w:spacing w:line="360" w:lineRule="auto"/>
              <w:jc w:val="left"/>
              <w:rPr>
                <w:rFonts w:hint="eastAsia" w:ascii="宋体" w:hAnsi="宋体" w:eastAsia="宋体"/>
                <w:color w:val="FF0000"/>
                <w:lang w:eastAsia="zh-CN"/>
              </w:rPr>
            </w:pPr>
            <w:r>
              <w:rPr>
                <w:rFonts w:hint="eastAsia" w:ascii="宋体" w:hAnsi="宋体" w:eastAsia="宋体"/>
                <w:color w:val="FF0000"/>
                <w:lang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eastAsia="宋体"/>
              </w:rPr>
            </w:pPr>
            <w:r>
              <w:rPr>
                <w:rFonts w:hint="eastAsia" w:ascii="宋体" w:hAnsi="宋体" w:eastAsia="宋体"/>
              </w:rPr>
              <w:t>相关业绩</w:t>
            </w:r>
          </w:p>
        </w:tc>
        <w:tc>
          <w:tcPr>
            <w:tcW w:w="708" w:type="dxa"/>
            <w:vAlign w:val="center"/>
          </w:tcPr>
          <w:p>
            <w:pPr>
              <w:spacing w:line="360" w:lineRule="auto"/>
              <w:jc w:val="center"/>
              <w:rPr>
                <w:rFonts w:ascii="宋体" w:hAnsi="宋体" w:eastAsia="宋体"/>
              </w:rPr>
            </w:pPr>
            <w:r>
              <w:rPr>
                <w:rFonts w:hint="eastAsia" w:ascii="宋体" w:hAnsi="宋体" w:eastAsia="宋体"/>
              </w:rPr>
              <w:t>10分</w:t>
            </w:r>
          </w:p>
        </w:tc>
        <w:tc>
          <w:tcPr>
            <w:tcW w:w="6713" w:type="dxa"/>
            <w:vAlign w:val="center"/>
          </w:tcPr>
          <w:p>
            <w:pPr>
              <w:spacing w:line="360" w:lineRule="auto"/>
              <w:jc w:val="left"/>
              <w:rPr>
                <w:rFonts w:ascii="宋体" w:hAnsi="宋体" w:eastAsia="宋体"/>
              </w:rPr>
            </w:pPr>
            <w:r>
              <w:rPr>
                <w:rFonts w:hint="eastAsia" w:ascii="宋体" w:hAnsi="宋体" w:eastAsia="宋体"/>
              </w:rPr>
              <w:t>近三年投标人直接与政府客户签订的同类型项目业绩，</w:t>
            </w:r>
            <w:r>
              <w:rPr>
                <w:rFonts w:ascii="宋体" w:hAnsi="宋体" w:eastAsia="宋体"/>
              </w:rPr>
              <w:t>提供中标通知书和合同，</w:t>
            </w:r>
            <w:r>
              <w:rPr>
                <w:rFonts w:hint="eastAsia" w:ascii="宋体" w:hAnsi="宋体" w:eastAsia="宋体"/>
              </w:rPr>
              <w:t>每提供一个国家级业绩得2分，每提供一个省级业绩得1分，每提供一个市级业绩得0.5分，满分10分。（须提供加盖投标人公章的证书复印件）</w:t>
            </w:r>
          </w:p>
        </w:tc>
      </w:tr>
    </w:tbl>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eastAsia" w:asciiTheme="minorEastAsia" w:hAnsiTheme="minorEastAsia" w:eastAsiaTheme="minorEastAsia" w:cstheme="minorEastAsia"/>
          <w:b/>
          <w:bCs/>
          <w:sz w:val="24"/>
          <w:lang w:val="en-US" w:eastAsia="zh-CN"/>
        </w:rPr>
      </w:pPr>
    </w:p>
    <w:p>
      <w:pPr>
        <w:widowControl/>
        <w:numPr>
          <w:ilvl w:val="0"/>
          <w:numId w:val="0"/>
        </w:numPr>
        <w:ind w:firstLine="241" w:firstLineChars="100"/>
        <w:jc w:val="both"/>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C包：</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b/>
              </w:rPr>
            </w:pPr>
            <w:r>
              <w:rPr>
                <w:rFonts w:hint="eastAsia" w:ascii="宋体" w:hAnsi="宋体" w:eastAsia="宋体"/>
                <w:b/>
              </w:rPr>
              <w:t>项目</w:t>
            </w:r>
          </w:p>
        </w:tc>
        <w:tc>
          <w:tcPr>
            <w:tcW w:w="708" w:type="dxa"/>
            <w:vAlign w:val="center"/>
          </w:tcPr>
          <w:p>
            <w:pPr>
              <w:spacing w:line="360" w:lineRule="auto"/>
              <w:jc w:val="center"/>
              <w:rPr>
                <w:rFonts w:ascii="宋体" w:hAnsi="宋体" w:eastAsia="宋体"/>
                <w:b/>
              </w:rPr>
            </w:pPr>
            <w:r>
              <w:rPr>
                <w:rFonts w:hint="eastAsia" w:ascii="宋体" w:hAnsi="宋体" w:eastAsia="宋体"/>
                <w:b/>
              </w:rPr>
              <w:t>分值</w:t>
            </w:r>
          </w:p>
        </w:tc>
        <w:tc>
          <w:tcPr>
            <w:tcW w:w="6713" w:type="dxa"/>
            <w:vAlign w:val="center"/>
          </w:tcPr>
          <w:p>
            <w:pPr>
              <w:spacing w:line="360" w:lineRule="auto"/>
              <w:jc w:val="center"/>
              <w:rPr>
                <w:rFonts w:ascii="宋体" w:hAnsi="宋体" w:eastAsia="宋体"/>
                <w:b/>
              </w:rPr>
            </w:pPr>
            <w:r>
              <w:rPr>
                <w:rFonts w:hint="eastAsia" w:ascii="宋体" w:hAnsi="宋体" w:eastAsia="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rPr>
            </w:pPr>
            <w:r>
              <w:rPr>
                <w:rFonts w:hint="eastAsia" w:ascii="宋体" w:hAnsi="宋体" w:eastAsia="宋体"/>
              </w:rPr>
              <w:t>价格</w:t>
            </w:r>
          </w:p>
        </w:tc>
        <w:tc>
          <w:tcPr>
            <w:tcW w:w="708" w:type="dxa"/>
            <w:vAlign w:val="center"/>
          </w:tcPr>
          <w:p>
            <w:pPr>
              <w:spacing w:line="360" w:lineRule="auto"/>
              <w:jc w:val="center"/>
              <w:rPr>
                <w:rFonts w:ascii="宋体" w:hAnsi="宋体" w:eastAsia="宋体"/>
              </w:rPr>
            </w:pPr>
            <w:r>
              <w:rPr>
                <w:rFonts w:hint="eastAsia" w:ascii="宋体" w:hAnsi="宋体" w:eastAsia="宋体"/>
              </w:rPr>
              <w:t>20分</w:t>
            </w:r>
          </w:p>
        </w:tc>
        <w:tc>
          <w:tcPr>
            <w:tcW w:w="6713" w:type="dxa"/>
            <w:vAlign w:val="center"/>
          </w:tcPr>
          <w:p>
            <w:pPr>
              <w:spacing w:line="360" w:lineRule="auto"/>
              <w:jc w:val="left"/>
              <w:rPr>
                <w:rFonts w:ascii="宋体" w:hAnsi="宋体" w:eastAsia="宋体"/>
              </w:rPr>
            </w:pPr>
            <w:r>
              <w:rPr>
                <w:rFonts w:hint="eastAsia" w:ascii="宋体" w:hAnsi="宋体" w:eastAsia="宋体"/>
              </w:rPr>
              <w:t>以满足采购文件要求且报价最低的供应商最终报价为评审基准价，其价格分为满分20分，其他投标人的价格按照下列公式计算：报价得分=（评审基准价/供应商最终报价）×20。</w:t>
            </w:r>
          </w:p>
          <w:p>
            <w:pPr>
              <w:spacing w:line="360" w:lineRule="auto"/>
              <w:jc w:val="left"/>
              <w:rPr>
                <w:rFonts w:ascii="宋体" w:hAnsi="宋体" w:eastAsia="宋体"/>
              </w:rPr>
            </w:pPr>
            <w:r>
              <w:rPr>
                <w:rFonts w:hint="eastAsia" w:ascii="宋体" w:hAnsi="宋体" w:eastAsia="宋体"/>
              </w:rPr>
              <w:t>备注：1.投标人投标报价超出最高限价（财政预算），将作废标处理。</w:t>
            </w:r>
            <w:r>
              <w:rPr>
                <w:rFonts w:hint="eastAsia" w:ascii="宋体" w:hAnsi="宋体" w:eastAsia="宋体"/>
                <w:lang w:val="en-US" w:eastAsia="zh-CN"/>
              </w:rPr>
              <w:t>2</w:t>
            </w:r>
            <w:r>
              <w:rPr>
                <w:rFonts w:hint="eastAsia" w:ascii="宋体" w:hAnsi="宋体" w:eastAsia="宋体"/>
              </w:rPr>
              <w:t>.如果评委发现投标人的报价明显低于其他合理投标报价，将要求该投标人做书面说明并提供相关证明材料，如投标人不能合理说明或不能提供相关证明材料的，评审委员会可将其定为无效投标或确定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rPr>
            </w:pPr>
            <w:r>
              <w:rPr>
                <w:rFonts w:hint="eastAsia" w:ascii="宋体" w:hAnsi="宋体" w:eastAsia="宋体"/>
              </w:rPr>
              <w:t>服务方案</w:t>
            </w:r>
          </w:p>
        </w:tc>
        <w:tc>
          <w:tcPr>
            <w:tcW w:w="708" w:type="dxa"/>
            <w:vAlign w:val="center"/>
          </w:tcPr>
          <w:p>
            <w:pPr>
              <w:spacing w:line="360" w:lineRule="auto"/>
              <w:jc w:val="center"/>
              <w:rPr>
                <w:rFonts w:ascii="宋体" w:hAnsi="宋体" w:eastAsia="宋体"/>
              </w:rPr>
            </w:pPr>
            <w:r>
              <w:rPr>
                <w:rFonts w:hint="eastAsia" w:ascii="宋体" w:hAnsi="宋体" w:eastAsia="宋体"/>
              </w:rPr>
              <w:t>20分</w:t>
            </w:r>
          </w:p>
        </w:tc>
        <w:tc>
          <w:tcPr>
            <w:tcW w:w="6713" w:type="dxa"/>
            <w:vAlign w:val="center"/>
          </w:tcPr>
          <w:p>
            <w:pPr>
              <w:spacing w:line="360" w:lineRule="auto"/>
              <w:jc w:val="left"/>
              <w:rPr>
                <w:rFonts w:hint="eastAsia" w:ascii="宋体" w:hAnsi="宋体" w:eastAsia="宋体"/>
                <w:color w:val="FF0000"/>
              </w:rPr>
            </w:pPr>
            <w:r>
              <w:rPr>
                <w:rFonts w:hint="eastAsia" w:ascii="宋体" w:hAnsi="宋体" w:eastAsia="宋体"/>
                <w:color w:val="FF0000"/>
              </w:rPr>
              <w:t>根据投标人提报的技术方案科学性、完整性、方案可行性及采购文件响应情况</w:t>
            </w:r>
            <w:r>
              <w:rPr>
                <w:rFonts w:hint="eastAsia" w:ascii="宋体" w:hAnsi="宋体" w:eastAsia="宋体"/>
                <w:color w:val="FF0000"/>
                <w:lang w:eastAsia="zh-CN"/>
              </w:rPr>
              <w:t>以上内容</w:t>
            </w:r>
            <w:r>
              <w:rPr>
                <w:rFonts w:hint="eastAsia" w:ascii="宋体" w:hAnsi="宋体" w:eastAsia="宋体"/>
                <w:color w:val="FF0000"/>
              </w:rPr>
              <w:t>能充分满足采购人要求的，得1</w:t>
            </w:r>
            <w:r>
              <w:rPr>
                <w:rFonts w:hint="eastAsia" w:ascii="宋体" w:hAnsi="宋体" w:eastAsia="宋体"/>
                <w:color w:val="FF0000"/>
                <w:lang w:val="en-US" w:eastAsia="zh-CN"/>
              </w:rPr>
              <w:t>4</w:t>
            </w:r>
            <w:r>
              <w:rPr>
                <w:rFonts w:hint="eastAsia" w:ascii="宋体" w:hAnsi="宋体" w:eastAsia="宋体"/>
                <w:color w:val="FF0000"/>
              </w:rPr>
              <w:t>-</w:t>
            </w:r>
            <w:r>
              <w:rPr>
                <w:rFonts w:hint="eastAsia" w:ascii="宋体" w:hAnsi="宋体" w:eastAsia="宋体"/>
                <w:color w:val="FF0000"/>
                <w:lang w:val="en-US" w:eastAsia="zh-CN"/>
              </w:rPr>
              <w:t>18</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根据投标人提报的技术方案科学性、完整性、方案可行性及采购文件响应情况</w:t>
            </w:r>
            <w:r>
              <w:rPr>
                <w:rFonts w:hint="eastAsia" w:ascii="宋体" w:hAnsi="宋体" w:eastAsia="宋体"/>
                <w:color w:val="FF0000"/>
                <w:lang w:eastAsia="zh-CN"/>
              </w:rPr>
              <w:t>以上内容情况一般，基本满足采购人要求的</w:t>
            </w:r>
            <w:r>
              <w:rPr>
                <w:rFonts w:hint="eastAsia" w:ascii="宋体" w:hAnsi="宋体" w:eastAsia="宋体"/>
                <w:color w:val="FF0000"/>
              </w:rPr>
              <w:t>，得</w:t>
            </w:r>
            <w:r>
              <w:rPr>
                <w:rFonts w:hint="eastAsia" w:ascii="宋体" w:hAnsi="宋体" w:eastAsia="宋体"/>
                <w:color w:val="FF0000"/>
                <w:lang w:val="en-US" w:eastAsia="zh-CN"/>
              </w:rPr>
              <w:t>9</w:t>
            </w:r>
            <w:r>
              <w:rPr>
                <w:rFonts w:hint="eastAsia" w:ascii="宋体" w:hAnsi="宋体" w:eastAsia="宋体"/>
                <w:color w:val="FF0000"/>
              </w:rPr>
              <w:t>-</w:t>
            </w:r>
            <w:r>
              <w:rPr>
                <w:rFonts w:hint="eastAsia" w:ascii="宋体" w:hAnsi="宋体" w:eastAsia="宋体"/>
                <w:color w:val="FF0000"/>
                <w:lang w:val="en-US" w:eastAsia="zh-CN"/>
              </w:rPr>
              <w:t>13</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根据投标人提报的技术方案科学性、完整性、方案可行性及采购文件响应情况</w:t>
            </w:r>
            <w:r>
              <w:rPr>
                <w:rFonts w:hint="eastAsia" w:ascii="宋体" w:hAnsi="宋体" w:eastAsia="宋体"/>
                <w:color w:val="FF0000"/>
                <w:lang w:eastAsia="zh-CN"/>
              </w:rPr>
              <w:t>以上内容情况差，基本无法满足采购人要求的</w:t>
            </w:r>
            <w:r>
              <w:rPr>
                <w:rFonts w:hint="eastAsia" w:ascii="宋体" w:hAnsi="宋体" w:eastAsia="宋体"/>
                <w:color w:val="FF0000"/>
              </w:rPr>
              <w:t>，得</w:t>
            </w:r>
            <w:r>
              <w:rPr>
                <w:rFonts w:hint="eastAsia" w:ascii="宋体" w:hAnsi="宋体" w:eastAsia="宋体"/>
                <w:color w:val="FF0000"/>
                <w:lang w:val="en-US" w:eastAsia="zh-CN"/>
              </w:rPr>
              <w:t>4</w:t>
            </w:r>
            <w:r>
              <w:rPr>
                <w:rFonts w:hint="eastAsia" w:ascii="宋体" w:hAnsi="宋体" w:eastAsia="宋体"/>
                <w:color w:val="FF0000"/>
              </w:rPr>
              <w:t>-</w:t>
            </w:r>
            <w:r>
              <w:rPr>
                <w:rFonts w:hint="eastAsia" w:ascii="宋体" w:hAnsi="宋体" w:eastAsia="宋体"/>
                <w:color w:val="FF0000"/>
                <w:lang w:val="en-US" w:eastAsia="zh-CN"/>
              </w:rPr>
              <w:t>8</w:t>
            </w:r>
            <w:r>
              <w:rPr>
                <w:rFonts w:hint="eastAsia" w:ascii="宋体" w:hAnsi="宋体" w:eastAsia="宋体"/>
                <w:color w:val="FF0000"/>
              </w:rPr>
              <w:t>分；</w:t>
            </w:r>
          </w:p>
          <w:p>
            <w:pPr>
              <w:spacing w:line="360" w:lineRule="auto"/>
              <w:jc w:val="left"/>
              <w:rPr>
                <w:rFonts w:ascii="宋体" w:hAnsi="宋体" w:eastAsia="宋体"/>
              </w:rPr>
            </w:pPr>
            <w:r>
              <w:rPr>
                <w:rFonts w:hint="eastAsia" w:ascii="宋体" w:hAnsi="宋体" w:eastAsia="宋体"/>
                <w:color w:val="FF0000"/>
                <w:lang w:eastAsia="zh-CN"/>
              </w:rPr>
              <w:t>注：缺项不得分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rPr>
            </w:pPr>
            <w:r>
              <w:rPr>
                <w:rFonts w:hint="eastAsia" w:ascii="宋体" w:hAnsi="宋体" w:eastAsia="宋体"/>
              </w:rPr>
              <w:t>工期及保障方案</w:t>
            </w:r>
          </w:p>
        </w:tc>
        <w:tc>
          <w:tcPr>
            <w:tcW w:w="708" w:type="dxa"/>
            <w:vAlign w:val="center"/>
          </w:tcPr>
          <w:p>
            <w:pPr>
              <w:spacing w:line="360" w:lineRule="auto"/>
              <w:jc w:val="center"/>
              <w:rPr>
                <w:rFonts w:ascii="宋体" w:hAnsi="宋体" w:eastAsia="宋体"/>
              </w:rPr>
            </w:pPr>
            <w:r>
              <w:rPr>
                <w:rFonts w:hint="eastAsia" w:ascii="宋体" w:hAnsi="宋体" w:eastAsia="宋体"/>
              </w:rPr>
              <w:t>10分</w:t>
            </w:r>
          </w:p>
        </w:tc>
        <w:tc>
          <w:tcPr>
            <w:tcW w:w="6713" w:type="dxa"/>
            <w:vAlign w:val="center"/>
          </w:tcPr>
          <w:p>
            <w:pPr>
              <w:spacing w:line="360" w:lineRule="auto"/>
              <w:jc w:val="left"/>
              <w:rPr>
                <w:rFonts w:hint="eastAsia" w:ascii="宋体" w:hAnsi="宋体" w:eastAsia="宋体"/>
                <w:color w:val="FF0000"/>
              </w:rPr>
            </w:pPr>
            <w:r>
              <w:rPr>
                <w:rFonts w:hint="eastAsia" w:ascii="宋体" w:hAnsi="宋体" w:eastAsia="宋体"/>
                <w:color w:val="FF0000"/>
              </w:rPr>
              <w:t>根据投标人时间安排、工作计划、确保项目按时按要求完成的保障措施等的科学性、合理性等可操作性强</w:t>
            </w:r>
            <w:r>
              <w:rPr>
                <w:rFonts w:hint="eastAsia" w:ascii="宋体" w:hAnsi="宋体" w:eastAsia="宋体"/>
                <w:color w:val="FF0000"/>
                <w:lang w:eastAsia="zh-CN"/>
              </w:rPr>
              <w:t>得</w:t>
            </w:r>
            <w:r>
              <w:rPr>
                <w:rFonts w:hint="eastAsia" w:ascii="宋体" w:hAnsi="宋体" w:eastAsia="宋体"/>
                <w:color w:val="FF0000"/>
                <w:lang w:val="en-US" w:eastAsia="zh-CN"/>
              </w:rPr>
              <w:t>9-</w:t>
            </w:r>
            <w:r>
              <w:rPr>
                <w:rFonts w:hint="eastAsia" w:ascii="宋体" w:hAnsi="宋体" w:eastAsia="宋体"/>
                <w:color w:val="FF0000"/>
              </w:rPr>
              <w:t>1</w:t>
            </w:r>
            <w:r>
              <w:rPr>
                <w:rFonts w:hint="eastAsia" w:ascii="宋体" w:hAnsi="宋体" w:eastAsia="宋体"/>
                <w:color w:val="FF0000"/>
                <w:lang w:val="en-US" w:eastAsia="zh-CN"/>
              </w:rPr>
              <w:t>3</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根据投标人时间安排、工作计划、确保项目按时按要求完成的保障措施等的科学性、合理性等可操作性分较强</w:t>
            </w:r>
            <w:r>
              <w:rPr>
                <w:rFonts w:hint="eastAsia" w:ascii="宋体" w:hAnsi="宋体" w:eastAsia="宋体"/>
                <w:color w:val="FF0000"/>
                <w:lang w:eastAsia="zh-CN"/>
              </w:rPr>
              <w:t>得</w:t>
            </w:r>
            <w:r>
              <w:rPr>
                <w:rFonts w:hint="eastAsia" w:ascii="宋体" w:hAnsi="宋体" w:eastAsia="宋体"/>
                <w:color w:val="FF0000"/>
                <w:lang w:val="en-US" w:eastAsia="zh-CN"/>
              </w:rPr>
              <w:t>5-9</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根据投标人时间安排、工作计划、确保项目按时按要求完成的保障措施等的科学性、合理性等不具有可操作性</w:t>
            </w:r>
            <w:r>
              <w:rPr>
                <w:rFonts w:hint="eastAsia" w:ascii="宋体" w:hAnsi="宋体" w:eastAsia="宋体"/>
                <w:color w:val="FF0000"/>
                <w:lang w:eastAsia="zh-CN"/>
              </w:rPr>
              <w:t>得</w:t>
            </w:r>
            <w:r>
              <w:rPr>
                <w:rFonts w:hint="eastAsia" w:ascii="宋体" w:hAnsi="宋体" w:eastAsia="宋体"/>
                <w:color w:val="FF0000"/>
                <w:lang w:val="en-US" w:eastAsia="zh-CN"/>
              </w:rPr>
              <w:t>2-5</w:t>
            </w:r>
            <w:r>
              <w:rPr>
                <w:rFonts w:hint="eastAsia" w:ascii="宋体" w:hAnsi="宋体" w:eastAsia="宋体"/>
                <w:color w:val="FF0000"/>
              </w:rPr>
              <w:t>分。</w:t>
            </w:r>
          </w:p>
          <w:p>
            <w:pPr>
              <w:spacing w:line="360" w:lineRule="auto"/>
              <w:jc w:val="left"/>
              <w:rPr>
                <w:rFonts w:ascii="宋体" w:hAnsi="宋体" w:eastAsia="宋体"/>
              </w:rPr>
            </w:pPr>
            <w:r>
              <w:rPr>
                <w:rFonts w:hint="eastAsia" w:ascii="宋体" w:hAnsi="宋体" w:eastAsia="宋体"/>
                <w:color w:val="FF0000"/>
                <w:lang w:eastAsia="zh-CN"/>
              </w:rPr>
              <w:t>注：缺项不得分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rPr>
            </w:pPr>
            <w:r>
              <w:rPr>
                <w:rFonts w:hint="eastAsia" w:ascii="宋体" w:hAnsi="宋体" w:eastAsia="宋体"/>
              </w:rPr>
              <w:t>售后服务承诺</w:t>
            </w:r>
          </w:p>
        </w:tc>
        <w:tc>
          <w:tcPr>
            <w:tcW w:w="708" w:type="dxa"/>
            <w:vAlign w:val="center"/>
          </w:tcPr>
          <w:p>
            <w:pPr>
              <w:spacing w:line="360" w:lineRule="auto"/>
              <w:jc w:val="center"/>
              <w:rPr>
                <w:rFonts w:ascii="宋体" w:hAnsi="宋体" w:eastAsia="宋体"/>
              </w:rPr>
            </w:pPr>
            <w:r>
              <w:rPr>
                <w:rFonts w:hint="eastAsia" w:ascii="宋体" w:hAnsi="宋体" w:eastAsia="宋体"/>
              </w:rPr>
              <w:t>10分</w:t>
            </w:r>
          </w:p>
        </w:tc>
        <w:tc>
          <w:tcPr>
            <w:tcW w:w="6713" w:type="dxa"/>
            <w:vAlign w:val="center"/>
          </w:tcPr>
          <w:p>
            <w:pPr>
              <w:spacing w:line="360" w:lineRule="auto"/>
              <w:jc w:val="left"/>
              <w:rPr>
                <w:rFonts w:ascii="宋体" w:hAnsi="宋体" w:eastAsia="宋体"/>
              </w:rPr>
            </w:pPr>
            <w:r>
              <w:rPr>
                <w:rFonts w:hint="eastAsia" w:ascii="宋体" w:hAnsi="宋体" w:eastAsia="宋体"/>
                <w:color w:val="FF0000"/>
              </w:rPr>
              <w:t>保障本项目后续相关工作需求，投标人需提供售后服务承诺。根据投标人提供的服务承诺打分，</w:t>
            </w:r>
            <w:r>
              <w:rPr>
                <w:rFonts w:hint="eastAsia" w:ascii="宋体" w:hAnsi="宋体" w:eastAsia="宋体"/>
                <w:color w:val="FF0000"/>
                <w:lang w:eastAsia="zh-CN"/>
              </w:rPr>
              <w:t>每有一条经评标小组评定并经招标单位实质性认可得</w:t>
            </w:r>
            <w:r>
              <w:rPr>
                <w:rFonts w:hint="eastAsia" w:ascii="宋体" w:hAnsi="宋体" w:eastAsia="宋体"/>
                <w:color w:val="FF0000"/>
                <w:lang w:val="en-US" w:eastAsia="zh-CN"/>
              </w:rPr>
              <w:t>2分，本项满分10分</w:t>
            </w:r>
            <w:r>
              <w:rPr>
                <w:rFonts w:hint="eastAsia" w:ascii="宋体" w:hAnsi="宋体" w:eastAsia="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rPr>
            </w:pPr>
            <w:r>
              <w:rPr>
                <w:rFonts w:hint="eastAsia" w:ascii="宋体" w:hAnsi="宋体" w:eastAsia="宋体"/>
              </w:rPr>
              <w:t>服务团队</w:t>
            </w:r>
          </w:p>
        </w:tc>
        <w:tc>
          <w:tcPr>
            <w:tcW w:w="708" w:type="dxa"/>
            <w:vAlign w:val="center"/>
          </w:tcPr>
          <w:p>
            <w:pPr>
              <w:spacing w:line="360" w:lineRule="auto"/>
              <w:jc w:val="center"/>
              <w:rPr>
                <w:rFonts w:ascii="宋体" w:hAnsi="宋体" w:eastAsia="宋体"/>
              </w:rPr>
            </w:pPr>
            <w:r>
              <w:rPr>
                <w:rFonts w:hint="eastAsia" w:ascii="宋体" w:hAnsi="宋体" w:eastAsia="宋体"/>
              </w:rPr>
              <w:t>20分</w:t>
            </w:r>
          </w:p>
        </w:tc>
        <w:tc>
          <w:tcPr>
            <w:tcW w:w="6713" w:type="dxa"/>
            <w:vAlign w:val="center"/>
          </w:tcPr>
          <w:p>
            <w:pPr>
              <w:spacing w:line="360" w:lineRule="auto"/>
              <w:jc w:val="left"/>
              <w:rPr>
                <w:rFonts w:ascii="宋体" w:hAnsi="宋体" w:eastAsia="宋体"/>
              </w:rPr>
            </w:pPr>
            <w:r>
              <w:rPr>
                <w:rFonts w:hint="eastAsia" w:ascii="宋体" w:hAnsi="宋体" w:eastAsia="宋体"/>
              </w:rPr>
              <w:t>根据投标人制定的人员配备计划，人员数量、人员技术水平以及合理性等进行综合打分</w:t>
            </w:r>
            <w:r>
              <w:rPr>
                <w:rFonts w:hint="eastAsia" w:ascii="宋体" w:hAnsi="宋体" w:eastAsia="宋体"/>
                <w:color w:val="FF0000"/>
                <w:lang w:eastAsia="zh-CN"/>
              </w:rPr>
              <w:t>得</w:t>
            </w:r>
            <w:r>
              <w:rPr>
                <w:rFonts w:hint="eastAsia" w:ascii="宋体" w:hAnsi="宋体" w:eastAsia="宋体"/>
                <w:color w:val="FF0000"/>
                <w:lang w:val="en-US" w:eastAsia="zh-CN"/>
              </w:rPr>
              <w:t>1-</w:t>
            </w:r>
            <w:r>
              <w:rPr>
                <w:rFonts w:hint="eastAsia" w:ascii="宋体" w:hAnsi="宋体" w:eastAsia="宋体"/>
                <w:color w:val="FF0000"/>
              </w:rPr>
              <w:t>4分；</w:t>
            </w:r>
          </w:p>
          <w:p>
            <w:pPr>
              <w:spacing w:line="360" w:lineRule="auto"/>
              <w:jc w:val="left"/>
              <w:rPr>
                <w:rFonts w:ascii="宋体" w:hAnsi="宋体" w:eastAsia="宋体"/>
              </w:rPr>
            </w:pPr>
            <w:r>
              <w:rPr>
                <w:rFonts w:hint="eastAsia" w:ascii="宋体" w:hAnsi="宋体" w:eastAsia="宋体"/>
              </w:rPr>
              <w:t>具有本项目相关专业硕士及以上学位的每人加1分，满分3分；</w:t>
            </w:r>
          </w:p>
          <w:p>
            <w:pPr>
              <w:spacing w:line="360" w:lineRule="auto"/>
              <w:jc w:val="left"/>
              <w:rPr>
                <w:rFonts w:ascii="宋体" w:hAnsi="宋体" w:eastAsia="宋体"/>
              </w:rPr>
            </w:pPr>
            <w:r>
              <w:rPr>
                <w:rFonts w:hint="eastAsia" w:ascii="宋体" w:hAnsi="宋体" w:eastAsia="宋体"/>
              </w:rPr>
              <w:t>具有本项目相关专业中级职称及以上的每人加1分，满分3分；</w:t>
            </w:r>
          </w:p>
          <w:p>
            <w:pPr>
              <w:spacing w:line="360" w:lineRule="auto"/>
              <w:jc w:val="left"/>
              <w:rPr>
                <w:rFonts w:ascii="宋体" w:hAnsi="宋体" w:eastAsia="宋体"/>
              </w:rPr>
            </w:pPr>
            <w:r>
              <w:rPr>
                <w:rFonts w:hint="eastAsia" w:ascii="宋体" w:hAnsi="宋体" w:eastAsia="宋体"/>
              </w:rPr>
              <w:t>投标人项目组成员中，具有自动监控（水）运行资质证书，每有1个得1分，最高得3分；</w:t>
            </w:r>
          </w:p>
          <w:p>
            <w:pPr>
              <w:spacing w:line="360" w:lineRule="auto"/>
              <w:jc w:val="left"/>
              <w:rPr>
                <w:rFonts w:ascii="宋体" w:hAnsi="宋体" w:eastAsia="宋体"/>
              </w:rPr>
            </w:pPr>
            <w:r>
              <w:rPr>
                <w:rFonts w:hint="eastAsia" w:ascii="宋体" w:hAnsi="宋体" w:eastAsia="宋体"/>
              </w:rPr>
              <w:t>投标人具备CMA实验室能力得2分，不具备得0分；</w:t>
            </w:r>
          </w:p>
          <w:p>
            <w:pPr>
              <w:spacing w:line="360" w:lineRule="auto"/>
              <w:jc w:val="left"/>
              <w:rPr>
                <w:rFonts w:ascii="宋体" w:hAnsi="宋体" w:eastAsia="宋体"/>
              </w:rPr>
            </w:pPr>
            <w:r>
              <w:rPr>
                <w:rFonts w:hint="eastAsia" w:ascii="宋体" w:hAnsi="宋体" w:eastAsia="宋体"/>
              </w:rPr>
              <w:t>上述人员均需提供本项目组成员劳务合同及社保证明（须半年以上），满分5分。提供不全的每人扣0.5分。</w:t>
            </w:r>
          </w:p>
          <w:p>
            <w:pPr>
              <w:spacing w:line="360" w:lineRule="auto"/>
              <w:jc w:val="left"/>
              <w:rPr>
                <w:rFonts w:ascii="宋体" w:hAnsi="宋体" w:eastAsia="宋体"/>
              </w:rPr>
            </w:pPr>
            <w:r>
              <w:rPr>
                <w:rFonts w:hint="eastAsia" w:ascii="宋体" w:hAnsi="宋体" w:eastAsia="宋体"/>
              </w:rPr>
              <w:t>（以上均须提供加盖投标人公章的证书复印件）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rPr>
            </w:pPr>
            <w:r>
              <w:rPr>
                <w:rFonts w:hint="eastAsia" w:ascii="宋体" w:hAnsi="宋体" w:eastAsia="宋体"/>
              </w:rPr>
              <w:t>综合保障能力</w:t>
            </w:r>
          </w:p>
        </w:tc>
        <w:tc>
          <w:tcPr>
            <w:tcW w:w="708" w:type="dxa"/>
            <w:vAlign w:val="center"/>
          </w:tcPr>
          <w:p>
            <w:pPr>
              <w:spacing w:line="360" w:lineRule="auto"/>
              <w:jc w:val="center"/>
              <w:rPr>
                <w:rFonts w:ascii="宋体" w:hAnsi="宋体" w:eastAsia="宋体"/>
              </w:rPr>
            </w:pPr>
            <w:r>
              <w:rPr>
                <w:rFonts w:hint="eastAsia" w:ascii="宋体" w:hAnsi="宋体" w:eastAsia="宋体"/>
              </w:rPr>
              <w:t>10分</w:t>
            </w:r>
          </w:p>
        </w:tc>
        <w:tc>
          <w:tcPr>
            <w:tcW w:w="6713" w:type="dxa"/>
            <w:vAlign w:val="center"/>
          </w:tcPr>
          <w:p>
            <w:pPr>
              <w:spacing w:line="360" w:lineRule="auto"/>
              <w:jc w:val="left"/>
              <w:rPr>
                <w:rFonts w:hint="eastAsia" w:ascii="宋体" w:hAnsi="宋体" w:eastAsia="宋体"/>
                <w:color w:val="FF0000"/>
              </w:rPr>
            </w:pPr>
            <w:r>
              <w:rPr>
                <w:rFonts w:hint="eastAsia" w:ascii="宋体" w:hAnsi="宋体" w:eastAsia="宋体"/>
                <w:color w:val="FF0000"/>
              </w:rPr>
              <w:t>根据供应商提供的综合实力展示、资金及技术保障能力、信誉资质荣誉等综合打分针对性强，能够充分满足采购人需求</w:t>
            </w:r>
            <w:r>
              <w:rPr>
                <w:rFonts w:hint="eastAsia" w:ascii="宋体" w:hAnsi="宋体" w:eastAsia="宋体"/>
                <w:color w:val="FF0000"/>
                <w:lang w:eastAsia="zh-CN"/>
              </w:rPr>
              <w:t>得</w:t>
            </w:r>
            <w:r>
              <w:rPr>
                <w:rFonts w:hint="eastAsia" w:ascii="宋体" w:hAnsi="宋体" w:eastAsia="宋体"/>
                <w:color w:val="FF0000"/>
                <w:lang w:val="en-US" w:eastAsia="zh-CN"/>
              </w:rPr>
              <w:t>6-</w:t>
            </w:r>
            <w:r>
              <w:rPr>
                <w:rFonts w:hint="eastAsia" w:ascii="宋体" w:hAnsi="宋体" w:eastAsia="宋体"/>
                <w:color w:val="FF0000"/>
              </w:rPr>
              <w:t>10分。</w:t>
            </w:r>
          </w:p>
          <w:p>
            <w:pPr>
              <w:spacing w:line="360" w:lineRule="auto"/>
              <w:jc w:val="left"/>
              <w:rPr>
                <w:rFonts w:hint="eastAsia" w:ascii="宋体" w:hAnsi="宋体" w:eastAsia="宋体"/>
                <w:color w:val="FF0000"/>
              </w:rPr>
            </w:pPr>
            <w:r>
              <w:rPr>
                <w:rFonts w:hint="eastAsia" w:ascii="宋体" w:hAnsi="宋体" w:eastAsia="宋体"/>
                <w:color w:val="FF0000"/>
              </w:rPr>
              <w:t>根据供应商提供的综合实力展示、资金及技术保障能力、信誉资质荣誉等综合打分针对性</w:t>
            </w:r>
            <w:r>
              <w:rPr>
                <w:rFonts w:hint="eastAsia" w:ascii="宋体" w:hAnsi="宋体" w:eastAsia="宋体"/>
                <w:color w:val="FF0000"/>
                <w:lang w:eastAsia="zh-CN"/>
              </w:rPr>
              <w:t>一般</w:t>
            </w:r>
            <w:r>
              <w:rPr>
                <w:rFonts w:hint="eastAsia" w:ascii="宋体" w:hAnsi="宋体" w:eastAsia="宋体"/>
                <w:color w:val="FF0000"/>
              </w:rPr>
              <w:t>，</w:t>
            </w:r>
            <w:r>
              <w:rPr>
                <w:rFonts w:hint="eastAsia" w:ascii="宋体" w:hAnsi="宋体" w:eastAsia="宋体"/>
                <w:color w:val="FF0000"/>
                <w:lang w:eastAsia="zh-CN"/>
              </w:rPr>
              <w:t>基本</w:t>
            </w:r>
            <w:r>
              <w:rPr>
                <w:rFonts w:hint="eastAsia" w:ascii="宋体" w:hAnsi="宋体" w:eastAsia="宋体"/>
                <w:color w:val="FF0000"/>
              </w:rPr>
              <w:t>满足采购人需求</w:t>
            </w:r>
            <w:r>
              <w:rPr>
                <w:rFonts w:hint="eastAsia" w:ascii="宋体" w:hAnsi="宋体" w:eastAsia="宋体"/>
                <w:color w:val="FF0000"/>
                <w:lang w:eastAsia="zh-CN"/>
              </w:rPr>
              <w:t>得</w:t>
            </w:r>
            <w:r>
              <w:rPr>
                <w:rFonts w:hint="eastAsia" w:ascii="宋体" w:hAnsi="宋体" w:eastAsia="宋体"/>
                <w:color w:val="FF0000"/>
                <w:lang w:val="en-US" w:eastAsia="zh-CN"/>
              </w:rPr>
              <w:t>3-6</w:t>
            </w:r>
            <w:r>
              <w:rPr>
                <w:rFonts w:hint="eastAsia" w:ascii="宋体" w:hAnsi="宋体" w:eastAsia="宋体"/>
                <w:color w:val="FF0000"/>
              </w:rPr>
              <w:t>分。</w:t>
            </w:r>
          </w:p>
          <w:p>
            <w:pPr>
              <w:spacing w:line="360" w:lineRule="auto"/>
              <w:jc w:val="left"/>
              <w:rPr>
                <w:rFonts w:hint="eastAsia" w:ascii="宋体" w:hAnsi="宋体" w:eastAsia="宋体"/>
                <w:color w:val="FF0000"/>
              </w:rPr>
            </w:pPr>
            <w:r>
              <w:rPr>
                <w:rFonts w:hint="eastAsia" w:ascii="宋体" w:hAnsi="宋体" w:eastAsia="宋体"/>
                <w:color w:val="FF0000"/>
              </w:rPr>
              <w:t>根据供应商提供的综合实力展示、资金及技术保障能力、信誉资质荣誉等综合打分针对性</w:t>
            </w:r>
            <w:r>
              <w:rPr>
                <w:rFonts w:hint="eastAsia" w:ascii="宋体" w:hAnsi="宋体" w:eastAsia="宋体"/>
                <w:color w:val="FF0000"/>
                <w:lang w:eastAsia="zh-CN"/>
              </w:rPr>
              <w:t>差</w:t>
            </w:r>
            <w:r>
              <w:rPr>
                <w:rFonts w:hint="eastAsia" w:ascii="宋体" w:hAnsi="宋体" w:eastAsia="宋体"/>
                <w:color w:val="FF0000"/>
              </w:rPr>
              <w:t>，</w:t>
            </w:r>
            <w:r>
              <w:rPr>
                <w:rFonts w:hint="eastAsia" w:ascii="宋体" w:hAnsi="宋体" w:eastAsia="宋体"/>
                <w:color w:val="FF0000"/>
                <w:lang w:eastAsia="zh-CN"/>
              </w:rPr>
              <w:t>无法</w:t>
            </w:r>
            <w:r>
              <w:rPr>
                <w:rFonts w:hint="eastAsia" w:ascii="宋体" w:hAnsi="宋体" w:eastAsia="宋体"/>
                <w:color w:val="FF0000"/>
              </w:rPr>
              <w:t>满足采购人需求</w:t>
            </w:r>
            <w:r>
              <w:rPr>
                <w:rFonts w:hint="eastAsia" w:ascii="宋体" w:hAnsi="宋体" w:eastAsia="宋体"/>
                <w:color w:val="FF0000"/>
                <w:lang w:eastAsia="zh-CN"/>
              </w:rPr>
              <w:t>得</w:t>
            </w:r>
            <w:r>
              <w:rPr>
                <w:rFonts w:hint="eastAsia" w:ascii="宋体" w:hAnsi="宋体" w:eastAsia="宋体"/>
                <w:color w:val="FF0000"/>
                <w:lang w:val="en-US" w:eastAsia="zh-CN"/>
              </w:rPr>
              <w:t>1-3</w:t>
            </w:r>
            <w:r>
              <w:rPr>
                <w:rFonts w:hint="eastAsia" w:ascii="宋体" w:hAnsi="宋体" w:eastAsia="宋体"/>
                <w:color w:val="FF0000"/>
              </w:rPr>
              <w:t>分。</w:t>
            </w:r>
          </w:p>
          <w:p>
            <w:pPr>
              <w:spacing w:line="360" w:lineRule="auto"/>
              <w:jc w:val="left"/>
              <w:rPr>
                <w:rFonts w:ascii="宋体" w:hAnsi="宋体" w:eastAsia="宋体"/>
              </w:rPr>
            </w:pPr>
            <w:r>
              <w:rPr>
                <w:rFonts w:hint="eastAsia" w:ascii="宋体" w:hAnsi="宋体" w:eastAsia="宋体"/>
                <w:color w:val="FF0000"/>
                <w:lang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宋体" w:hAnsi="宋体" w:eastAsia="宋体"/>
              </w:rPr>
            </w:pPr>
            <w:r>
              <w:rPr>
                <w:rFonts w:hint="eastAsia" w:ascii="宋体" w:hAnsi="宋体" w:eastAsia="宋体"/>
              </w:rPr>
              <w:t>相关业绩</w:t>
            </w:r>
          </w:p>
        </w:tc>
        <w:tc>
          <w:tcPr>
            <w:tcW w:w="708" w:type="dxa"/>
            <w:vAlign w:val="center"/>
          </w:tcPr>
          <w:p>
            <w:pPr>
              <w:spacing w:line="360" w:lineRule="auto"/>
              <w:jc w:val="center"/>
              <w:rPr>
                <w:rFonts w:ascii="宋体" w:hAnsi="宋体" w:eastAsia="宋体"/>
              </w:rPr>
            </w:pPr>
            <w:r>
              <w:rPr>
                <w:rFonts w:hint="eastAsia" w:ascii="宋体" w:hAnsi="宋体" w:eastAsia="宋体"/>
              </w:rPr>
              <w:t>10分</w:t>
            </w:r>
          </w:p>
        </w:tc>
        <w:tc>
          <w:tcPr>
            <w:tcW w:w="6713" w:type="dxa"/>
            <w:vAlign w:val="center"/>
          </w:tcPr>
          <w:p>
            <w:pPr>
              <w:spacing w:line="360" w:lineRule="auto"/>
              <w:jc w:val="left"/>
              <w:rPr>
                <w:rFonts w:ascii="宋体" w:hAnsi="宋体" w:eastAsia="宋体"/>
              </w:rPr>
            </w:pPr>
            <w:r>
              <w:rPr>
                <w:rFonts w:hint="eastAsia" w:ascii="宋体" w:hAnsi="宋体" w:eastAsia="宋体"/>
              </w:rPr>
              <w:t>近三年投标人直接与政府客户签订的同类型项目业绩，</w:t>
            </w:r>
            <w:r>
              <w:rPr>
                <w:rFonts w:ascii="宋体" w:hAnsi="宋体" w:eastAsia="宋体"/>
              </w:rPr>
              <w:t>提供中标通知书和合同，</w:t>
            </w:r>
            <w:r>
              <w:rPr>
                <w:rFonts w:hint="eastAsia" w:ascii="宋体" w:hAnsi="宋体" w:eastAsia="宋体"/>
              </w:rPr>
              <w:t>每提供一个国家级业绩得2分，每提供一个省级业绩得1分，每提供一个市级业绩得0.5分，满分10分。（须提供加盖投标人公章的证书复印件）</w:t>
            </w:r>
          </w:p>
        </w:tc>
      </w:tr>
    </w:tbl>
    <w:p>
      <w:pPr>
        <w:widowControl/>
        <w:numPr>
          <w:ilvl w:val="0"/>
          <w:numId w:val="0"/>
        </w:numPr>
        <w:jc w:val="center"/>
        <w:rPr>
          <w:rFonts w:hint="eastAsia" w:asciiTheme="minorEastAsia" w:hAnsiTheme="minorEastAsia" w:eastAsiaTheme="minorEastAsia" w:cstheme="minorEastAsia"/>
          <w:b/>
          <w:bCs/>
          <w:sz w:val="24"/>
        </w:rPr>
      </w:pPr>
    </w:p>
    <w:p>
      <w:pPr>
        <w:widowControl/>
        <w:numPr>
          <w:ilvl w:val="0"/>
          <w:numId w:val="0"/>
        </w:numPr>
        <w:jc w:val="center"/>
        <w:rPr>
          <w:rFonts w:hint="eastAsia" w:asciiTheme="minorEastAsia" w:hAnsiTheme="minorEastAsia" w:eastAsiaTheme="minorEastAsia" w:cstheme="minorEastAsia"/>
          <w:b/>
          <w:bCs/>
          <w:sz w:val="24"/>
        </w:rPr>
      </w:pPr>
    </w:p>
    <w:p>
      <w:pPr>
        <w:widowControl/>
        <w:numPr>
          <w:ilvl w:val="0"/>
          <w:numId w:val="0"/>
        </w:numPr>
        <w:jc w:val="center"/>
        <w:rPr>
          <w:rFonts w:hint="eastAsia" w:asciiTheme="minorEastAsia" w:hAnsiTheme="minorEastAsia" w:eastAsiaTheme="minorEastAsia" w:cstheme="minorEastAsia"/>
          <w:b/>
          <w:bCs/>
          <w:sz w:val="24"/>
        </w:rPr>
      </w:pPr>
    </w:p>
    <w:p>
      <w:pPr>
        <w:widowControl/>
        <w:numPr>
          <w:ilvl w:val="0"/>
          <w:numId w:val="0"/>
        </w:numPr>
        <w:jc w:val="center"/>
        <w:rPr>
          <w:rFonts w:hint="eastAsia" w:asciiTheme="minorEastAsia" w:hAnsiTheme="minorEastAsia" w:eastAsiaTheme="minorEastAsia" w:cstheme="minorEastAsia"/>
          <w:b/>
          <w:bCs/>
          <w:sz w:val="24"/>
        </w:rPr>
      </w:pPr>
    </w:p>
    <w:p>
      <w:pPr>
        <w:widowControl/>
        <w:numPr>
          <w:ilvl w:val="0"/>
          <w:numId w:val="0"/>
        </w:numPr>
        <w:jc w:val="center"/>
        <w:rPr>
          <w:rFonts w:hint="eastAsia" w:asciiTheme="minorEastAsia" w:hAnsiTheme="minorEastAsia" w:eastAsiaTheme="minorEastAsia" w:cstheme="minorEastAsia"/>
          <w:b/>
          <w:bCs/>
          <w:sz w:val="24"/>
        </w:rPr>
      </w:pPr>
    </w:p>
    <w:p>
      <w:pPr>
        <w:widowControl/>
        <w:numPr>
          <w:ilvl w:val="0"/>
          <w:numId w:val="0"/>
        </w:numPr>
        <w:jc w:val="center"/>
        <w:rPr>
          <w:rFonts w:hint="eastAsia" w:asciiTheme="minorEastAsia" w:hAnsiTheme="minorEastAsia" w:eastAsiaTheme="minorEastAsia" w:cstheme="minorEastAsia"/>
          <w:b/>
          <w:bCs/>
          <w:sz w:val="24"/>
        </w:rPr>
      </w:pPr>
    </w:p>
    <w:p>
      <w:pPr>
        <w:widowControl/>
        <w:numPr>
          <w:ilvl w:val="0"/>
          <w:numId w:val="0"/>
        </w:numPr>
        <w:jc w:val="center"/>
        <w:rPr>
          <w:rFonts w:hint="eastAsia" w:asciiTheme="minorEastAsia" w:hAnsiTheme="minorEastAsia" w:eastAsiaTheme="minorEastAsia" w:cstheme="minorEastAsia"/>
          <w:b/>
          <w:bCs/>
          <w:sz w:val="24"/>
        </w:rPr>
      </w:pPr>
    </w:p>
    <w:p>
      <w:pPr>
        <w:widowControl/>
        <w:numPr>
          <w:ilvl w:val="0"/>
          <w:numId w:val="0"/>
        </w:numPr>
        <w:jc w:val="center"/>
        <w:rPr>
          <w:rFonts w:hint="eastAsia" w:asciiTheme="minorEastAsia" w:hAnsiTheme="minorEastAsia" w:eastAsiaTheme="minorEastAsia" w:cstheme="minorEastAsia"/>
          <w:b/>
          <w:bCs/>
          <w:sz w:val="24"/>
        </w:rPr>
      </w:pPr>
    </w:p>
    <w:p>
      <w:pPr>
        <w:widowControl/>
        <w:numPr>
          <w:ilvl w:val="0"/>
          <w:numId w:val="0"/>
        </w:numPr>
        <w:jc w:val="both"/>
        <w:rPr>
          <w:rFonts w:hint="eastAsia" w:asciiTheme="minorEastAsia" w:hAnsiTheme="minorEastAsia" w:eastAsiaTheme="minorEastAsia" w:cstheme="minorEastAsia"/>
          <w:b/>
          <w:bCs/>
          <w:sz w:val="24"/>
        </w:rPr>
      </w:pPr>
    </w:p>
    <w:p>
      <w:pPr>
        <w:widowControl/>
        <w:numPr>
          <w:ilvl w:val="0"/>
          <w:numId w:val="0"/>
        </w:num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封面格式</w:t>
      </w:r>
    </w:p>
    <w:tbl>
      <w:tblPr>
        <w:tblStyle w:val="25"/>
        <w:tblpPr w:leftFromText="180" w:rightFromText="180" w:vertAnchor="text" w:horzAnchor="margin" w:tblpXSpec="center" w:tblpY="470"/>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2"/>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0" w:hRule="atLeast"/>
          <w:jc w:val="center"/>
        </w:trPr>
        <w:tc>
          <w:tcPr>
            <w:tcW w:w="4862" w:type="dxa"/>
            <w:tcBorders>
              <w:bottom w:val="single" w:color="auto" w:sz="4" w:space="0"/>
            </w:tcBorders>
          </w:tcPr>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报价一览表             </w:t>
            </w:r>
          </w:p>
          <w:p>
            <w:pPr>
              <w:spacing w:line="480" w:lineRule="exact"/>
              <w:ind w:firstLine="480" w:firstLineChars="200"/>
              <w:jc w:val="left"/>
              <w:rPr>
                <w:rFonts w:asciiTheme="minorEastAsia" w:hAnsiTheme="minorEastAsia" w:eastAsiaTheme="minorEastAsia" w:cstheme="minorEastAsia"/>
                <w:sz w:val="24"/>
              </w:rPr>
            </w:pP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项目编号： </w:t>
            </w: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4621" w:type="dxa"/>
            <w:tcBorders>
              <w:bottom w:val="single" w:color="auto" w:sz="4" w:space="0"/>
            </w:tcBorders>
          </w:tcPr>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资质证明文件          </w:t>
            </w:r>
          </w:p>
          <w:p>
            <w:pPr>
              <w:spacing w:line="480" w:lineRule="exact"/>
              <w:ind w:firstLine="480" w:firstLineChars="200"/>
              <w:jc w:val="left"/>
              <w:rPr>
                <w:rFonts w:asciiTheme="minorEastAsia" w:hAnsiTheme="minorEastAsia" w:eastAsiaTheme="minorEastAsia" w:cstheme="minorEastAsia"/>
                <w:sz w:val="24"/>
              </w:rPr>
            </w:pP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项目编号： </w:t>
            </w: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r>
    </w:tbl>
    <w:p>
      <w:pPr>
        <w:spacing w:line="480" w:lineRule="exact"/>
        <w:jc w:val="left"/>
        <w:rPr>
          <w:rFonts w:asciiTheme="minorEastAsia" w:hAnsiTheme="minorEastAsia" w:eastAsiaTheme="minorEastAsia" w:cstheme="minorEastAsia"/>
          <w:sz w:val="24"/>
        </w:rPr>
      </w:pPr>
    </w:p>
    <w:tbl>
      <w:tblPr>
        <w:tblStyle w:val="25"/>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5"/>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92" w:hRule="atLeast"/>
          <w:jc w:val="center"/>
        </w:trPr>
        <w:tc>
          <w:tcPr>
            <w:tcW w:w="4855" w:type="dxa"/>
          </w:tcPr>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报价文件</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（正本）</w:t>
            </w:r>
          </w:p>
          <w:p>
            <w:pPr>
              <w:spacing w:line="480" w:lineRule="exact"/>
              <w:ind w:firstLine="480" w:firstLineChars="200"/>
              <w:jc w:val="center"/>
              <w:rPr>
                <w:rFonts w:asciiTheme="minorEastAsia" w:hAnsiTheme="minorEastAsia" w:eastAsiaTheme="minorEastAsia" w:cstheme="minorEastAsia"/>
                <w:sz w:val="24"/>
              </w:rPr>
            </w:pP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p>
            <w:pPr>
              <w:spacing w:line="480" w:lineRule="exact"/>
              <w:ind w:firstLine="480" w:firstLineChars="200"/>
              <w:jc w:val="center"/>
              <w:rPr>
                <w:rFonts w:asciiTheme="minorEastAsia" w:hAnsiTheme="minorEastAsia" w:eastAsiaTheme="minorEastAsia" w:cstheme="minorEastAsia"/>
                <w:sz w:val="24"/>
              </w:rPr>
            </w:pPr>
          </w:p>
        </w:tc>
        <w:tc>
          <w:tcPr>
            <w:tcW w:w="4638" w:type="dxa"/>
          </w:tcPr>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报价文件</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（副本）</w:t>
            </w:r>
          </w:p>
          <w:p>
            <w:pPr>
              <w:spacing w:line="480" w:lineRule="exact"/>
              <w:ind w:firstLine="480" w:firstLineChars="200"/>
              <w:jc w:val="center"/>
              <w:rPr>
                <w:rFonts w:asciiTheme="minorEastAsia" w:hAnsiTheme="minorEastAsia" w:eastAsiaTheme="minorEastAsia" w:cstheme="minorEastAsia"/>
                <w:sz w:val="24"/>
              </w:rPr>
            </w:pP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r>
    </w:tbl>
    <w:p>
      <w:pPr>
        <w:spacing w:line="480" w:lineRule="exact"/>
        <w:ind w:firstLine="480" w:firstLineChars="200"/>
        <w:jc w:val="left"/>
        <w:rPr>
          <w:rFonts w:asciiTheme="minorEastAsia" w:hAnsiTheme="minorEastAsia" w:eastAsiaTheme="minorEastAsia" w:cstheme="minorEastAsia"/>
          <w:sz w:val="24"/>
        </w:rPr>
      </w:pPr>
    </w:p>
    <w:p>
      <w:pPr>
        <w:spacing w:line="4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封口格式：</w:t>
      </w:r>
    </w:p>
    <w:tbl>
      <w:tblPr>
        <w:tblStyle w:val="25"/>
        <w:tblpPr w:leftFromText="180" w:rightFromText="180" w:vertAnchor="text" w:horzAnchor="margin" w:tblpXSpec="center" w:tblpY="136"/>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15" w:hRule="atLeast"/>
          <w:jc w:val="center"/>
        </w:trPr>
        <w:tc>
          <w:tcPr>
            <w:tcW w:w="9468" w:type="dxa"/>
            <w:tcBorders>
              <w:bottom w:val="single" w:color="auto" w:sz="4" w:space="0"/>
            </w:tcBorders>
            <w:vAlign w:val="center"/>
          </w:tcPr>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……………于2019年  月  日   :  之前不准启封（公章）……………</w:t>
            </w:r>
          </w:p>
        </w:tc>
      </w:tr>
    </w:tbl>
    <w:p>
      <w:pPr>
        <w:pStyle w:val="24"/>
        <w:ind w:left="0" w:leftChars="0" w:firstLine="0" w:firstLineChars="0"/>
        <w:rPr>
          <w:rFonts w:asciiTheme="minorEastAsia" w:hAnsiTheme="minorEastAsia" w:eastAsiaTheme="minorEastAsia" w:cstheme="minorEastAsia"/>
          <w:lang w:eastAsia="zh-CN"/>
        </w:rPr>
      </w:pPr>
    </w:p>
    <w:p>
      <w:pPr>
        <w:ind w:firstLine="3855" w:firstLineChars="16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投标文件书脊</w:t>
      </w:r>
      <w:r>
        <w:rPr>
          <w:rFonts w:hint="eastAsia" w:asciiTheme="minorEastAsia" w:hAnsiTheme="minorEastAsia" w:eastAsiaTheme="minorEastAsia" w:cstheme="minorEastAsia"/>
          <w:sz w:val="24"/>
        </w:rPr>
        <w:cr/>
      </w:r>
    </w:p>
    <w:tbl>
      <w:tblPr>
        <w:tblStyle w:val="26"/>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174"/>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15" w:hRule="atLeast"/>
        </w:trPr>
        <w:tc>
          <w:tcPr>
            <w:tcW w:w="3823" w:type="dxa"/>
          </w:tcPr>
          <w:p>
            <w:pPr>
              <w:pStyle w:val="41"/>
              <w:widowControl w:val="0"/>
              <w:spacing w:before="381" w:after="0" w:line="237" w:lineRule="exact"/>
              <w:rPr>
                <w:rFonts w:asciiTheme="minorEastAsia" w:hAnsiTheme="minorEastAsia" w:eastAsiaTheme="minorEastAsia" w:cstheme="minorEastAsia"/>
                <w:sz w:val="24"/>
                <w:szCs w:val="24"/>
                <w:lang w:eastAsia="zh-CN"/>
              </w:rPr>
            </w:pPr>
          </w:p>
          <w:p>
            <w:pPr>
              <w:pStyle w:val="41"/>
              <w:widowControl w:val="0"/>
              <w:spacing w:before="381" w:after="0" w:line="237" w:lineRule="exact"/>
              <w:ind w:firstLine="1200" w:firstLineChars="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标书背面</w:t>
            </w:r>
          </w:p>
        </w:tc>
        <w:tc>
          <w:tcPr>
            <w:tcW w:w="1174" w:type="dxa"/>
          </w:tcPr>
          <w:p>
            <w:pPr>
              <w:pStyle w:val="41"/>
              <w:widowControl w:val="0"/>
              <w:spacing w:before="381" w:after="0" w:line="237" w:lineRule="exact"/>
              <w:ind w:firstLine="240"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正本</w:t>
            </w:r>
          </w:p>
          <w:p>
            <w:pPr>
              <w:pStyle w:val="41"/>
              <w:widowControl w:val="0"/>
              <w:spacing w:before="381" w:after="0" w:line="237"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（副本）</w:t>
            </w:r>
          </w:p>
          <w:p>
            <w:pPr>
              <w:pStyle w:val="41"/>
              <w:widowControl w:val="0"/>
              <w:spacing w:before="381" w:after="0" w:line="237"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  目   名    称</w:t>
            </w:r>
          </w:p>
          <w:p>
            <w:pPr>
              <w:pStyle w:val="41"/>
              <w:widowControl w:val="0"/>
              <w:spacing w:before="381" w:after="0" w:line="237"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  标  单  位  名    称</w:t>
            </w:r>
          </w:p>
        </w:tc>
        <w:tc>
          <w:tcPr>
            <w:tcW w:w="3483" w:type="dxa"/>
          </w:tcPr>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报价文件</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（正本/副本）</w:t>
            </w:r>
          </w:p>
          <w:p>
            <w:pPr>
              <w:spacing w:line="480" w:lineRule="exact"/>
              <w:ind w:firstLine="480" w:firstLineChars="200"/>
              <w:jc w:val="center"/>
              <w:rPr>
                <w:rFonts w:asciiTheme="minorEastAsia" w:hAnsiTheme="minorEastAsia" w:eastAsiaTheme="minorEastAsia" w:cstheme="minorEastAsia"/>
                <w:sz w:val="24"/>
              </w:rPr>
            </w:pP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spacing w:line="480" w:lineRule="exact"/>
              <w:ind w:firstLine="480" w:firstLineChars="200"/>
              <w:jc w:val="center"/>
              <w:rPr>
                <w:rFonts w:asciiTheme="minorEastAsia" w:hAnsiTheme="minorEastAsia" w:eastAsiaTheme="minorEastAsia" w:cstheme="minorEastAsia"/>
                <w:sz w:val="24"/>
              </w:rPr>
            </w:pP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p>
            <w:pPr>
              <w:spacing w:line="480" w:lineRule="exact"/>
              <w:ind w:firstLine="480" w:firstLineChars="200"/>
              <w:jc w:val="center"/>
              <w:rPr>
                <w:rFonts w:asciiTheme="minorEastAsia" w:hAnsiTheme="minorEastAsia" w:eastAsiaTheme="minorEastAsia" w:cstheme="minorEastAsia"/>
                <w:sz w:val="24"/>
              </w:rPr>
            </w:pPr>
          </w:p>
          <w:p>
            <w:pPr>
              <w:spacing w:line="48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p>
            <w:pPr>
              <w:spacing w:line="480" w:lineRule="exact"/>
              <w:ind w:firstLine="480" w:firstLineChars="200"/>
              <w:rPr>
                <w:rFonts w:asciiTheme="minorEastAsia" w:hAnsiTheme="minorEastAsia" w:eastAsiaTheme="minorEastAsia" w:cstheme="minorEastAsia"/>
                <w:sz w:val="24"/>
              </w:rPr>
            </w:pPr>
          </w:p>
        </w:tc>
      </w:tr>
    </w:tbl>
    <w:p>
      <w:pPr>
        <w:pStyle w:val="41"/>
        <w:spacing w:before="381" w:after="0" w:line="237" w:lineRule="exact"/>
        <w:jc w:val="left"/>
        <w:rPr>
          <w:rFonts w:asciiTheme="minorEastAsia" w:hAnsiTheme="minorEastAsia" w:eastAsiaTheme="minorEastAsia" w:cstheme="minorEastAsia"/>
          <w:sz w:val="24"/>
          <w:szCs w:val="24"/>
          <w:lang w:eastAsia="zh-CN"/>
        </w:rPr>
      </w:pPr>
    </w:p>
    <w:p>
      <w:pPr>
        <w:pStyle w:val="12"/>
        <w:spacing w:after="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注：书脊内容从上到下分别是：正（副）本、项目名称、投标单位名称。</w:t>
      </w:r>
    </w:p>
    <w:p>
      <w:pPr>
        <w:pStyle w:val="24"/>
        <w:ind w:left="0" w:leftChars="0" w:firstLine="0" w:firstLineChars="0"/>
        <w:rPr>
          <w:rFonts w:asciiTheme="minorEastAsia" w:hAnsiTheme="minorEastAsia" w:eastAsiaTheme="minorEastAsia" w:cstheme="minorEastAsia"/>
          <w:sz w:val="24"/>
          <w:lang w:eastAsia="zh-CN"/>
        </w:rPr>
      </w:pPr>
    </w:p>
    <w:p>
      <w:pPr>
        <w:pStyle w:val="24"/>
        <w:ind w:left="0" w:leftChars="0" w:firstLine="0" w:firstLineChars="0"/>
        <w:rPr>
          <w:rFonts w:asciiTheme="minorEastAsia" w:hAnsiTheme="minorEastAsia" w:eastAsiaTheme="minorEastAsia" w:cstheme="minorEastAsia"/>
          <w:sz w:val="24"/>
          <w:lang w:eastAsia="zh-CN"/>
        </w:rPr>
      </w:pPr>
    </w:p>
    <w:p>
      <w:pPr>
        <w:pStyle w:val="24"/>
        <w:ind w:left="0" w:leftChars="0" w:firstLine="0" w:firstLineChars="0"/>
        <w:rPr>
          <w:rFonts w:asciiTheme="minorEastAsia" w:hAnsiTheme="minorEastAsia" w:eastAsiaTheme="minorEastAsia" w:cstheme="minorEastAsia"/>
          <w:sz w:val="24"/>
          <w:lang w:eastAsia="zh-CN"/>
        </w:rPr>
      </w:pPr>
    </w:p>
    <w:p>
      <w:pPr>
        <w:pStyle w:val="24"/>
        <w:ind w:left="0" w:leftChars="0" w:firstLine="0" w:firstLineChars="0"/>
        <w:rPr>
          <w:rFonts w:asciiTheme="minorEastAsia" w:hAnsiTheme="minorEastAsia" w:eastAsiaTheme="minorEastAsia" w:cstheme="minorEastAsia"/>
          <w:sz w:val="24"/>
          <w:lang w:eastAsia="zh-CN"/>
        </w:rPr>
      </w:pPr>
    </w:p>
    <w:p>
      <w:pPr>
        <w:pStyle w:val="24"/>
        <w:ind w:left="0" w:leftChars="0" w:firstLine="0" w:firstLineChars="0"/>
        <w:rPr>
          <w:rFonts w:asciiTheme="minorEastAsia" w:hAnsiTheme="minorEastAsia" w:eastAsiaTheme="minorEastAsia" w:cstheme="minorEastAsia"/>
          <w:sz w:val="24"/>
          <w:lang w:eastAsia="zh-CN"/>
        </w:rPr>
      </w:pPr>
    </w:p>
    <w:p>
      <w:pPr>
        <w:pStyle w:val="24"/>
        <w:ind w:left="0" w:leftChars="0" w:firstLine="0" w:firstLineChars="0"/>
        <w:rPr>
          <w:rFonts w:asciiTheme="minorEastAsia" w:hAnsiTheme="minorEastAsia" w:eastAsiaTheme="minorEastAsia" w:cstheme="minorEastAsia"/>
          <w:sz w:val="24"/>
          <w:lang w:eastAsia="zh-CN"/>
        </w:rPr>
      </w:pPr>
    </w:p>
    <w:p/>
    <w:sectPr>
      <w:pgSz w:w="11907" w:h="16840"/>
      <w:pgMar w:top="1985" w:right="1169" w:bottom="1418" w:left="1418" w:header="851" w:footer="851" w:gutter="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00" w:usb3="00000000" w:csb0="00040001" w:csb1="00000000"/>
  </w:font>
  <w:font w:name="Calibri Light">
    <w:panose1 w:val="020F0302020204030204"/>
    <w:charset w:val="00"/>
    <w:family w:val="roman"/>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left"/>
      <w:rPr>
        <w:rFonts w:ascii="仿宋_GB2312" w:eastAsia="仿宋_GB2312"/>
        <w:sz w:val="21"/>
        <w:szCs w:val="21"/>
      </w:rPr>
    </w:pPr>
    <w:r>
      <w:rPr>
        <w:sz w:val="21"/>
      </w:rPr>
      <w:pict>
        <v:shape id="_x0000_s2050" o:spid="_x0000_s2050" o:spt="202" type="#_x0000_t202" style="position:absolute;left:0pt;margin-top:-12.2pt;height:23.7pt;width:21pt;mso-position-horizontal:center;mso-position-horizontal-relative:margin;z-index:251659264;mso-width-relative:page;mso-height-relative:page;" filled="f" stroked="f" coordsize="21600,21600" o:gfxdata="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M40vVAAAA&#10;BgEAAA8AAAAAAAAAAQAgAAAAIgAAAGRycy9kb3ducmV2LnhtbFBLAQIUABQAAAAIAIdO4kB88bzY&#10;IAIAACIEAAAOAAAAAAAAAAEAIAAAACQBAABkcnMvZTJvRG9jLnhtbFBLBQYAAAAABgAGAFkBAAC2&#10;BQAAAAA=&#10;">
          <v:path/>
          <v:fill on="f" focussize="0,0"/>
          <v:stroke on="f" weight="0.5pt" joinstyle="miter"/>
          <v:imagedata o:title=""/>
          <o:lock v:ext="edit"/>
          <v:textbox inset="0mm,0mm,0mm,0mm">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t>2</w:t>
                </w:r>
                <w:r>
                  <w:rPr>
                    <w:rFonts w:hint="eastAsia" w:eastAsia="宋体"/>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path/>
          <v:fill on="f" focussize="0,0"/>
          <v:stroke on="f" joinstyle="miter"/>
          <v:imagedata o:title=""/>
          <o:lock v:ext="edit"/>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18"/>
                  <w:rPr>
                    <w:rFonts w:eastAsia="宋体"/>
                  </w:rPr>
                </w:pPr>
                <w:r>
                  <w:fldChar w:fldCharType="begin"/>
                </w:r>
                <w:r>
                  <w:instrText xml:space="preserve"> PAGE  \* MERGEFORMAT </w:instrText>
                </w:r>
                <w:r>
                  <w:fldChar w:fldCharType="separate"/>
                </w:r>
                <w:r>
                  <w:t>32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r>
      <w:rPr>
        <w:rFonts w:hint="eastAsia"/>
      </w:rPr>
      <w:t xml:space="preserve">     </w:t>
    </w:r>
  </w:p>
  <w:p>
    <w:pPr>
      <w:pStyle w:val="19"/>
      <w:pBdr>
        <w:bottom w:val="none" w:color="auto" w:sz="0" w:space="1"/>
      </w:pBdr>
      <w:jc w:val="left"/>
      <w:rPr>
        <w:u w:val="single"/>
      </w:rPr>
    </w:pPr>
    <w:r>
      <w:rPr>
        <w:rFonts w:hint="eastAsia" w:ascii="宋体" w:hAnsi="宋体" w:eastAsia="宋体" w:cs="宋体"/>
        <w:sz w:val="72"/>
        <w:szCs w:val="72"/>
      </w:rPr>
      <w:drawing>
        <wp:inline distT="0" distB="0" distL="114300" distR="114300">
          <wp:extent cx="208915" cy="201930"/>
          <wp:effectExtent l="0" t="0" r="635" b="7620"/>
          <wp:docPr id="18" name="图片 1" descr="新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新标识"/>
                  <pic:cNvPicPr>
                    <a:picLocks noChangeAspect="1"/>
                  </pic:cNvPicPr>
                </pic:nvPicPr>
                <pic:blipFill>
                  <a:blip r:embed="rId1"/>
                  <a:stretch>
                    <a:fillRect/>
                  </a:stretch>
                </pic:blipFill>
                <pic:spPr>
                  <a:xfrm>
                    <a:off x="0" y="0"/>
                    <a:ext cx="208915" cy="201930"/>
                  </a:xfrm>
                  <a:prstGeom prst="rect">
                    <a:avLst/>
                  </a:prstGeom>
                  <a:noFill/>
                  <a:ln w="9525">
                    <a:noFill/>
                  </a:ln>
                </pic:spPr>
              </pic:pic>
            </a:graphicData>
          </a:graphic>
        </wp:inline>
      </w:drawing>
    </w:r>
    <w:r>
      <w:rPr>
        <w:rFonts w:hint="eastAsia" w:ascii="黑体" w:hAnsi="黑体" w:eastAsia="黑体" w:cs="黑体"/>
        <w:sz w:val="15"/>
        <w:szCs w:val="15"/>
      </w:rPr>
      <w:t xml:space="preserve">           山东蓝盾招标代理有限公司                 网址：http://www.sdldzb.com              联系方式：0531-88809762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left"/>
      <w:rPr>
        <w:u w:val="single"/>
      </w:rPr>
    </w:pPr>
    <w:r>
      <w:rPr>
        <w:rFonts w:hint="eastAsia" w:ascii="宋体" w:hAnsi="宋体" w:eastAsia="宋体" w:cs="宋体"/>
        <w:sz w:val="72"/>
        <w:szCs w:val="72"/>
      </w:rPr>
      <w:drawing>
        <wp:inline distT="0" distB="0" distL="114300" distR="114300">
          <wp:extent cx="208915" cy="201930"/>
          <wp:effectExtent l="0" t="0" r="635" b="7620"/>
          <wp:docPr id="16" name="图片 1" descr="新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新标识"/>
                  <pic:cNvPicPr>
                    <a:picLocks noChangeAspect="1"/>
                  </pic:cNvPicPr>
                </pic:nvPicPr>
                <pic:blipFill>
                  <a:blip r:embed="rId1"/>
                  <a:stretch>
                    <a:fillRect/>
                  </a:stretch>
                </pic:blipFill>
                <pic:spPr>
                  <a:xfrm>
                    <a:off x="0" y="0"/>
                    <a:ext cx="208915" cy="201930"/>
                  </a:xfrm>
                  <a:prstGeom prst="rect">
                    <a:avLst/>
                  </a:prstGeom>
                  <a:noFill/>
                  <a:ln w="9525">
                    <a:noFill/>
                  </a:ln>
                </pic:spPr>
              </pic:pic>
            </a:graphicData>
          </a:graphic>
        </wp:inline>
      </w:drawing>
    </w:r>
    <w:r>
      <w:rPr>
        <w:rFonts w:hint="eastAsia" w:ascii="黑体" w:hAnsi="黑体" w:eastAsia="黑体" w:cs="黑体"/>
        <w:sz w:val="15"/>
        <w:szCs w:val="15"/>
      </w:rPr>
      <w:t xml:space="preserve">       山东蓝盾招标代理有限公司</w:t>
    </w:r>
    <w:r>
      <w:rPr>
        <w:rFonts w:ascii="黑体" w:hAnsi="黑体" w:eastAsia="黑体" w:cs="黑体"/>
        <w:sz w:val="15"/>
        <w:szCs w:val="15"/>
      </w:rPr>
      <w:t xml:space="preserve">         </w:t>
    </w:r>
    <w:r>
      <w:rPr>
        <w:rFonts w:hint="eastAsia" w:ascii="黑体" w:hAnsi="黑体" w:eastAsia="黑体" w:cs="黑体"/>
        <w:sz w:val="15"/>
        <w:szCs w:val="15"/>
      </w:rPr>
      <w:t>网址：</w:t>
    </w:r>
    <w:r>
      <w:rPr>
        <w:rFonts w:ascii="黑体" w:hAnsi="黑体" w:eastAsia="黑体" w:cs="黑体"/>
        <w:sz w:val="15"/>
        <w:szCs w:val="15"/>
      </w:rPr>
      <w:t xml:space="preserve">http://www.sdldzb.com                  </w:t>
    </w:r>
    <w:r>
      <w:rPr>
        <w:rFonts w:hint="eastAsia" w:ascii="黑体" w:hAnsi="黑体" w:eastAsia="黑体" w:cs="黑体"/>
        <w:sz w:val="15"/>
        <w:szCs w:val="15"/>
      </w:rPr>
      <w:t>联系方式：</w:t>
    </w:r>
    <w:r>
      <w:rPr>
        <w:rFonts w:ascii="黑体" w:hAnsi="黑体" w:eastAsia="黑体" w:cs="黑体"/>
        <w:sz w:val="15"/>
        <w:szCs w:val="15"/>
      </w:rPr>
      <w:t>0531-88809762</w:t>
    </w:r>
  </w:p>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8A9F0"/>
    <w:multiLevelType w:val="singleLevel"/>
    <w:tmpl w:val="8438A9F0"/>
    <w:lvl w:ilvl="0" w:tentative="0">
      <w:start w:val="1"/>
      <w:numFmt w:val="decimal"/>
      <w:suff w:val="nothing"/>
      <w:lvlText w:val="（%1）"/>
      <w:lvlJc w:val="left"/>
    </w:lvl>
  </w:abstractNum>
  <w:abstractNum w:abstractNumId="1">
    <w:nsid w:val="9F094442"/>
    <w:multiLevelType w:val="singleLevel"/>
    <w:tmpl w:val="9F094442"/>
    <w:lvl w:ilvl="0" w:tentative="0">
      <w:start w:val="3"/>
      <w:numFmt w:val="chineseCounting"/>
      <w:suff w:val="space"/>
      <w:lvlText w:val="第%1部分"/>
      <w:lvlJc w:val="left"/>
      <w:rPr>
        <w:rFonts w:hint="eastAsia"/>
      </w:rPr>
    </w:lvl>
  </w:abstractNum>
  <w:abstractNum w:abstractNumId="2">
    <w:nsid w:val="A8EDE1F9"/>
    <w:multiLevelType w:val="singleLevel"/>
    <w:tmpl w:val="A8EDE1F9"/>
    <w:lvl w:ilvl="0" w:tentative="0">
      <w:start w:val="7"/>
      <w:numFmt w:val="chineseCounting"/>
      <w:suff w:val="space"/>
      <w:lvlText w:val="第%1部分"/>
      <w:lvlJc w:val="left"/>
      <w:rPr>
        <w:rFonts w:hint="eastAsia"/>
      </w:rPr>
    </w:lvl>
  </w:abstractNum>
  <w:abstractNum w:abstractNumId="3">
    <w:nsid w:val="0000000D"/>
    <w:multiLevelType w:val="multilevel"/>
    <w:tmpl w:val="0000000D"/>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23F012"/>
    <w:multiLevelType w:val="singleLevel"/>
    <w:tmpl w:val="0423F012"/>
    <w:lvl w:ilvl="0" w:tentative="0">
      <w:start w:val="5"/>
      <w:numFmt w:val="decimal"/>
      <w:suff w:val="nothing"/>
      <w:lvlText w:val="（%1）"/>
      <w:lvlJc w:val="left"/>
    </w:lvl>
  </w:abstractNum>
  <w:abstractNum w:abstractNumId="5">
    <w:nsid w:val="19B7A5A2"/>
    <w:multiLevelType w:val="singleLevel"/>
    <w:tmpl w:val="19B7A5A2"/>
    <w:lvl w:ilvl="0" w:tentative="0">
      <w:start w:val="8"/>
      <w:numFmt w:val="chineseCounting"/>
      <w:suff w:val="nothing"/>
      <w:lvlText w:val="%1、"/>
      <w:lvlJc w:val="left"/>
      <w:rPr>
        <w:rFonts w:hint="eastAsia"/>
      </w:rPr>
    </w:lvl>
  </w:abstractNum>
  <w:abstractNum w:abstractNumId="6">
    <w:nsid w:val="566A4442"/>
    <w:multiLevelType w:val="singleLevel"/>
    <w:tmpl w:val="566A4442"/>
    <w:lvl w:ilvl="0" w:tentative="0">
      <w:start w:val="1"/>
      <w:numFmt w:val="decimal"/>
      <w:suff w:val="nothing"/>
      <w:lvlText w:val="%1、"/>
      <w:lvlJc w:val="left"/>
    </w:lvl>
  </w:abstractNum>
  <w:abstractNum w:abstractNumId="7">
    <w:nsid w:val="58C61CC9"/>
    <w:multiLevelType w:val="singleLevel"/>
    <w:tmpl w:val="58C61CC9"/>
    <w:lvl w:ilvl="0" w:tentative="0">
      <w:start w:val="1"/>
      <w:numFmt w:val="decimal"/>
      <w:suff w:val="nothing"/>
      <w:lvlText w:val="%1、"/>
      <w:lvlJc w:val="left"/>
    </w:lvl>
  </w:abstractNum>
  <w:abstractNum w:abstractNumId="8">
    <w:nsid w:val="58C62265"/>
    <w:multiLevelType w:val="singleLevel"/>
    <w:tmpl w:val="58C62265"/>
    <w:lvl w:ilvl="0" w:tentative="0">
      <w:start w:val="2"/>
      <w:numFmt w:val="decimal"/>
      <w:suff w:val="nothing"/>
      <w:lvlText w:val="%1、"/>
      <w:lvlJc w:val="left"/>
    </w:lvl>
  </w:abstractNum>
  <w:abstractNum w:abstractNumId="9">
    <w:nsid w:val="58DB4EEB"/>
    <w:multiLevelType w:val="singleLevel"/>
    <w:tmpl w:val="58DB4EEB"/>
    <w:lvl w:ilvl="0" w:tentative="0">
      <w:start w:val="3"/>
      <w:numFmt w:val="decimal"/>
      <w:suff w:val="nothing"/>
      <w:lvlText w:val="%1."/>
      <w:lvlJc w:val="left"/>
    </w:lvl>
  </w:abstractNum>
  <w:abstractNum w:abstractNumId="10">
    <w:nsid w:val="58DCC775"/>
    <w:multiLevelType w:val="singleLevel"/>
    <w:tmpl w:val="58DCC775"/>
    <w:lvl w:ilvl="0" w:tentative="0">
      <w:start w:val="9"/>
      <w:numFmt w:val="chineseCounting"/>
      <w:suff w:val="nothing"/>
      <w:lvlText w:val="（%1）"/>
      <w:lvlJc w:val="left"/>
    </w:lvl>
  </w:abstractNum>
  <w:abstractNum w:abstractNumId="11">
    <w:nsid w:val="58F075E2"/>
    <w:multiLevelType w:val="singleLevel"/>
    <w:tmpl w:val="58F075E2"/>
    <w:lvl w:ilvl="0" w:tentative="0">
      <w:start w:val="1"/>
      <w:numFmt w:val="decimal"/>
      <w:suff w:val="nothing"/>
      <w:lvlText w:val="%1．"/>
      <w:lvlJc w:val="left"/>
    </w:lvl>
  </w:abstractNum>
  <w:abstractNum w:abstractNumId="12">
    <w:nsid w:val="59142957"/>
    <w:multiLevelType w:val="singleLevel"/>
    <w:tmpl w:val="59142957"/>
    <w:lvl w:ilvl="0" w:tentative="0">
      <w:start w:val="2"/>
      <w:numFmt w:val="decimal"/>
      <w:suff w:val="nothing"/>
      <w:lvlText w:val="%1."/>
      <w:lvlJc w:val="left"/>
    </w:lvl>
  </w:abstractNum>
  <w:abstractNum w:abstractNumId="13">
    <w:nsid w:val="59142F6C"/>
    <w:multiLevelType w:val="singleLevel"/>
    <w:tmpl w:val="59142F6C"/>
    <w:lvl w:ilvl="0" w:tentative="0">
      <w:start w:val="4"/>
      <w:numFmt w:val="decimal"/>
      <w:suff w:val="nothing"/>
      <w:lvlText w:val="%1."/>
      <w:lvlJc w:val="left"/>
    </w:lvl>
  </w:abstractNum>
  <w:abstractNum w:abstractNumId="14">
    <w:nsid w:val="59393771"/>
    <w:multiLevelType w:val="singleLevel"/>
    <w:tmpl w:val="59393771"/>
    <w:lvl w:ilvl="0" w:tentative="0">
      <w:start w:val="2"/>
      <w:numFmt w:val="decimal"/>
      <w:suff w:val="nothing"/>
      <w:lvlText w:val="%1."/>
      <w:lvlJc w:val="left"/>
    </w:lvl>
  </w:abstractNum>
  <w:abstractNum w:abstractNumId="15">
    <w:nsid w:val="59393780"/>
    <w:multiLevelType w:val="singleLevel"/>
    <w:tmpl w:val="59393780"/>
    <w:lvl w:ilvl="0" w:tentative="0">
      <w:start w:val="3"/>
      <w:numFmt w:val="decimal"/>
      <w:suff w:val="nothing"/>
      <w:lvlText w:val="%1、"/>
      <w:lvlJc w:val="left"/>
    </w:lvl>
  </w:abstractNum>
  <w:abstractNum w:abstractNumId="16">
    <w:nsid w:val="5991CEEC"/>
    <w:multiLevelType w:val="singleLevel"/>
    <w:tmpl w:val="5991CEEC"/>
    <w:lvl w:ilvl="0" w:tentative="0">
      <w:start w:val="1"/>
      <w:numFmt w:val="decimal"/>
      <w:suff w:val="nothing"/>
      <w:lvlText w:val="%1、"/>
      <w:lvlJc w:val="left"/>
    </w:lvl>
  </w:abstractNum>
  <w:abstractNum w:abstractNumId="17">
    <w:nsid w:val="59CB769B"/>
    <w:multiLevelType w:val="singleLevel"/>
    <w:tmpl w:val="59CB769B"/>
    <w:lvl w:ilvl="0" w:tentative="0">
      <w:start w:val="1"/>
      <w:numFmt w:val="decimal"/>
      <w:suff w:val="nothing"/>
      <w:lvlText w:val="%1、"/>
      <w:lvlJc w:val="left"/>
    </w:lvl>
  </w:abstractNum>
  <w:num w:numId="1">
    <w:abstractNumId w:val="5"/>
  </w:num>
  <w:num w:numId="2">
    <w:abstractNumId w:val="7"/>
  </w:num>
  <w:num w:numId="3">
    <w:abstractNumId w:val="8"/>
  </w:num>
  <w:num w:numId="4">
    <w:abstractNumId w:val="3"/>
  </w:num>
  <w:num w:numId="5">
    <w:abstractNumId w:val="11"/>
  </w:num>
  <w:num w:numId="6">
    <w:abstractNumId w:val="4"/>
  </w:num>
  <w:num w:numId="7">
    <w:abstractNumId w:val="0"/>
  </w:num>
  <w:num w:numId="8">
    <w:abstractNumId w:val="12"/>
  </w:num>
  <w:num w:numId="9">
    <w:abstractNumId w:val="10"/>
  </w:num>
  <w:num w:numId="10">
    <w:abstractNumId w:val="14"/>
  </w:num>
  <w:num w:numId="11">
    <w:abstractNumId w:val="15"/>
  </w:num>
  <w:num w:numId="12">
    <w:abstractNumId w:val="1"/>
  </w:num>
  <w:num w:numId="13">
    <w:abstractNumId w:val="16"/>
  </w:num>
  <w:num w:numId="14">
    <w:abstractNumId w:val="13"/>
  </w:num>
  <w:num w:numId="15">
    <w:abstractNumId w:val="6"/>
  </w:num>
  <w:num w:numId="16">
    <w:abstractNumId w:val="9"/>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C9C"/>
    <w:rsid w:val="00006BF6"/>
    <w:rsid w:val="00012DF0"/>
    <w:rsid w:val="00013FB4"/>
    <w:rsid w:val="00014A29"/>
    <w:rsid w:val="00015DD5"/>
    <w:rsid w:val="0002543E"/>
    <w:rsid w:val="000317F3"/>
    <w:rsid w:val="0004792D"/>
    <w:rsid w:val="00047F00"/>
    <w:rsid w:val="000544A4"/>
    <w:rsid w:val="000618C7"/>
    <w:rsid w:val="0007065C"/>
    <w:rsid w:val="00070E4D"/>
    <w:rsid w:val="00071294"/>
    <w:rsid w:val="000752D7"/>
    <w:rsid w:val="00084D62"/>
    <w:rsid w:val="00090090"/>
    <w:rsid w:val="000A0304"/>
    <w:rsid w:val="000A32F0"/>
    <w:rsid w:val="000B2978"/>
    <w:rsid w:val="000C0B83"/>
    <w:rsid w:val="000C62F6"/>
    <w:rsid w:val="000D0C7D"/>
    <w:rsid w:val="000D0D9A"/>
    <w:rsid w:val="000D0FC4"/>
    <w:rsid w:val="000D67B2"/>
    <w:rsid w:val="000E0895"/>
    <w:rsid w:val="000E514F"/>
    <w:rsid w:val="000E5BC8"/>
    <w:rsid w:val="000E7DA9"/>
    <w:rsid w:val="000F3722"/>
    <w:rsid w:val="000F7CBC"/>
    <w:rsid w:val="001049E4"/>
    <w:rsid w:val="001052C1"/>
    <w:rsid w:val="00111A0D"/>
    <w:rsid w:val="00112FD5"/>
    <w:rsid w:val="00113AB6"/>
    <w:rsid w:val="00123524"/>
    <w:rsid w:val="001321FE"/>
    <w:rsid w:val="00137126"/>
    <w:rsid w:val="00142A43"/>
    <w:rsid w:val="00143A76"/>
    <w:rsid w:val="001459A2"/>
    <w:rsid w:val="00155560"/>
    <w:rsid w:val="00156E86"/>
    <w:rsid w:val="00167A34"/>
    <w:rsid w:val="00171968"/>
    <w:rsid w:val="00172A27"/>
    <w:rsid w:val="001757F7"/>
    <w:rsid w:val="00183A8F"/>
    <w:rsid w:val="00184EDA"/>
    <w:rsid w:val="001853E6"/>
    <w:rsid w:val="00192BA6"/>
    <w:rsid w:val="00194EA7"/>
    <w:rsid w:val="00196657"/>
    <w:rsid w:val="00197564"/>
    <w:rsid w:val="001A11C3"/>
    <w:rsid w:val="001A365E"/>
    <w:rsid w:val="001A7654"/>
    <w:rsid w:val="001B3615"/>
    <w:rsid w:val="001C2F2C"/>
    <w:rsid w:val="001C3AB3"/>
    <w:rsid w:val="001C6489"/>
    <w:rsid w:val="001D26FB"/>
    <w:rsid w:val="001E1EC5"/>
    <w:rsid w:val="001E27AD"/>
    <w:rsid w:val="001E2814"/>
    <w:rsid w:val="001F2121"/>
    <w:rsid w:val="001F2F3A"/>
    <w:rsid w:val="001F6B95"/>
    <w:rsid w:val="0020228F"/>
    <w:rsid w:val="002105A4"/>
    <w:rsid w:val="002120C1"/>
    <w:rsid w:val="00214C05"/>
    <w:rsid w:val="0021618B"/>
    <w:rsid w:val="002213E3"/>
    <w:rsid w:val="00222D3A"/>
    <w:rsid w:val="0022325E"/>
    <w:rsid w:val="00224075"/>
    <w:rsid w:val="002302E3"/>
    <w:rsid w:val="00230DD3"/>
    <w:rsid w:val="00231026"/>
    <w:rsid w:val="00240B20"/>
    <w:rsid w:val="00255BBF"/>
    <w:rsid w:val="00257D32"/>
    <w:rsid w:val="002713C6"/>
    <w:rsid w:val="00271629"/>
    <w:rsid w:val="00283459"/>
    <w:rsid w:val="00283B25"/>
    <w:rsid w:val="0029147C"/>
    <w:rsid w:val="00292B1E"/>
    <w:rsid w:val="00295038"/>
    <w:rsid w:val="002950D8"/>
    <w:rsid w:val="00296310"/>
    <w:rsid w:val="002A0C18"/>
    <w:rsid w:val="002A14F7"/>
    <w:rsid w:val="002B2061"/>
    <w:rsid w:val="002B3E2A"/>
    <w:rsid w:val="002B7D31"/>
    <w:rsid w:val="002C0C50"/>
    <w:rsid w:val="002D30DB"/>
    <w:rsid w:val="002E0F11"/>
    <w:rsid w:val="002E12AB"/>
    <w:rsid w:val="002E1F13"/>
    <w:rsid w:val="002E3EB1"/>
    <w:rsid w:val="002E7C1E"/>
    <w:rsid w:val="002F3D73"/>
    <w:rsid w:val="002F3E11"/>
    <w:rsid w:val="002F5CCE"/>
    <w:rsid w:val="002F5F94"/>
    <w:rsid w:val="002F614C"/>
    <w:rsid w:val="00300360"/>
    <w:rsid w:val="0030194B"/>
    <w:rsid w:val="00302921"/>
    <w:rsid w:val="00304600"/>
    <w:rsid w:val="003046C8"/>
    <w:rsid w:val="00304CA4"/>
    <w:rsid w:val="0031121B"/>
    <w:rsid w:val="00311D40"/>
    <w:rsid w:val="00316489"/>
    <w:rsid w:val="003208A6"/>
    <w:rsid w:val="003229ED"/>
    <w:rsid w:val="00323145"/>
    <w:rsid w:val="00350DB7"/>
    <w:rsid w:val="003546C2"/>
    <w:rsid w:val="00354B96"/>
    <w:rsid w:val="0036281B"/>
    <w:rsid w:val="00363F76"/>
    <w:rsid w:val="00371426"/>
    <w:rsid w:val="003915DE"/>
    <w:rsid w:val="00392D12"/>
    <w:rsid w:val="0039565D"/>
    <w:rsid w:val="003A0AEA"/>
    <w:rsid w:val="003A1E40"/>
    <w:rsid w:val="003A3038"/>
    <w:rsid w:val="003B54B6"/>
    <w:rsid w:val="003B6325"/>
    <w:rsid w:val="003B74B1"/>
    <w:rsid w:val="003C0139"/>
    <w:rsid w:val="003C1A7B"/>
    <w:rsid w:val="003C25C2"/>
    <w:rsid w:val="003C2D88"/>
    <w:rsid w:val="003C6CE6"/>
    <w:rsid w:val="003D0B9B"/>
    <w:rsid w:val="003D1F56"/>
    <w:rsid w:val="003D6668"/>
    <w:rsid w:val="003E0565"/>
    <w:rsid w:val="003E080E"/>
    <w:rsid w:val="003E2F0B"/>
    <w:rsid w:val="003E74AC"/>
    <w:rsid w:val="00402161"/>
    <w:rsid w:val="004033FD"/>
    <w:rsid w:val="004166F3"/>
    <w:rsid w:val="00416BA4"/>
    <w:rsid w:val="0041715A"/>
    <w:rsid w:val="00421F0C"/>
    <w:rsid w:val="004235B9"/>
    <w:rsid w:val="004241A0"/>
    <w:rsid w:val="004342CB"/>
    <w:rsid w:val="00451729"/>
    <w:rsid w:val="004529BA"/>
    <w:rsid w:val="00464FFC"/>
    <w:rsid w:val="00465C9D"/>
    <w:rsid w:val="0049404F"/>
    <w:rsid w:val="00497C27"/>
    <w:rsid w:val="004A2875"/>
    <w:rsid w:val="004B04BA"/>
    <w:rsid w:val="004C49A3"/>
    <w:rsid w:val="004D0C87"/>
    <w:rsid w:val="004F5729"/>
    <w:rsid w:val="004F71CF"/>
    <w:rsid w:val="005045AE"/>
    <w:rsid w:val="00512EC7"/>
    <w:rsid w:val="00514F68"/>
    <w:rsid w:val="00516F67"/>
    <w:rsid w:val="00523820"/>
    <w:rsid w:val="00540C71"/>
    <w:rsid w:val="005429AE"/>
    <w:rsid w:val="00545E43"/>
    <w:rsid w:val="00552798"/>
    <w:rsid w:val="00555C54"/>
    <w:rsid w:val="00555DB8"/>
    <w:rsid w:val="00557175"/>
    <w:rsid w:val="005579B8"/>
    <w:rsid w:val="00560540"/>
    <w:rsid w:val="00564098"/>
    <w:rsid w:val="005651F2"/>
    <w:rsid w:val="005755CF"/>
    <w:rsid w:val="00581058"/>
    <w:rsid w:val="005901EF"/>
    <w:rsid w:val="00590675"/>
    <w:rsid w:val="00596AAC"/>
    <w:rsid w:val="005A150C"/>
    <w:rsid w:val="005A1A94"/>
    <w:rsid w:val="005A666A"/>
    <w:rsid w:val="005B1DA0"/>
    <w:rsid w:val="005B3868"/>
    <w:rsid w:val="005B3D88"/>
    <w:rsid w:val="005B3ED4"/>
    <w:rsid w:val="005B47C7"/>
    <w:rsid w:val="005C19EE"/>
    <w:rsid w:val="005C51F8"/>
    <w:rsid w:val="005C66F3"/>
    <w:rsid w:val="005C697C"/>
    <w:rsid w:val="005D47C7"/>
    <w:rsid w:val="005D7F37"/>
    <w:rsid w:val="005E0C40"/>
    <w:rsid w:val="005E0E75"/>
    <w:rsid w:val="005F40D3"/>
    <w:rsid w:val="005F63F3"/>
    <w:rsid w:val="006009BF"/>
    <w:rsid w:val="006019EB"/>
    <w:rsid w:val="0060406B"/>
    <w:rsid w:val="00605A74"/>
    <w:rsid w:val="00605E84"/>
    <w:rsid w:val="00614E88"/>
    <w:rsid w:val="00615472"/>
    <w:rsid w:val="006315C7"/>
    <w:rsid w:val="00636143"/>
    <w:rsid w:val="006417A3"/>
    <w:rsid w:val="00642A95"/>
    <w:rsid w:val="00643F5A"/>
    <w:rsid w:val="00645864"/>
    <w:rsid w:val="00651C1E"/>
    <w:rsid w:val="00657C42"/>
    <w:rsid w:val="0066676A"/>
    <w:rsid w:val="00674C63"/>
    <w:rsid w:val="006811FD"/>
    <w:rsid w:val="0068229C"/>
    <w:rsid w:val="00682B92"/>
    <w:rsid w:val="00686642"/>
    <w:rsid w:val="006904B8"/>
    <w:rsid w:val="00694750"/>
    <w:rsid w:val="00694D93"/>
    <w:rsid w:val="006B224E"/>
    <w:rsid w:val="006B2AA9"/>
    <w:rsid w:val="006B7B4A"/>
    <w:rsid w:val="006C015F"/>
    <w:rsid w:val="006C627D"/>
    <w:rsid w:val="006D37C7"/>
    <w:rsid w:val="006D5080"/>
    <w:rsid w:val="006D678D"/>
    <w:rsid w:val="006D7391"/>
    <w:rsid w:val="006F4158"/>
    <w:rsid w:val="00703CF0"/>
    <w:rsid w:val="007062DE"/>
    <w:rsid w:val="007104FD"/>
    <w:rsid w:val="0072063D"/>
    <w:rsid w:val="0072194D"/>
    <w:rsid w:val="00726015"/>
    <w:rsid w:val="00741362"/>
    <w:rsid w:val="00747531"/>
    <w:rsid w:val="00752194"/>
    <w:rsid w:val="00754399"/>
    <w:rsid w:val="007577E4"/>
    <w:rsid w:val="00775586"/>
    <w:rsid w:val="007760CC"/>
    <w:rsid w:val="007771D0"/>
    <w:rsid w:val="00777ACE"/>
    <w:rsid w:val="00780368"/>
    <w:rsid w:val="00781E95"/>
    <w:rsid w:val="007852AE"/>
    <w:rsid w:val="007A15C3"/>
    <w:rsid w:val="007B09CA"/>
    <w:rsid w:val="007B1D62"/>
    <w:rsid w:val="007B4B5D"/>
    <w:rsid w:val="007C3B95"/>
    <w:rsid w:val="007C3E67"/>
    <w:rsid w:val="007C51AD"/>
    <w:rsid w:val="007C7679"/>
    <w:rsid w:val="007E4EB2"/>
    <w:rsid w:val="007F0066"/>
    <w:rsid w:val="007F18CE"/>
    <w:rsid w:val="007F4968"/>
    <w:rsid w:val="007F7751"/>
    <w:rsid w:val="00800AF8"/>
    <w:rsid w:val="00800CE6"/>
    <w:rsid w:val="008029CA"/>
    <w:rsid w:val="00805AF9"/>
    <w:rsid w:val="00807482"/>
    <w:rsid w:val="00812EE8"/>
    <w:rsid w:val="008161AD"/>
    <w:rsid w:val="0082020D"/>
    <w:rsid w:val="00820897"/>
    <w:rsid w:val="008212E9"/>
    <w:rsid w:val="00826E91"/>
    <w:rsid w:val="008311C4"/>
    <w:rsid w:val="00834E79"/>
    <w:rsid w:val="00836487"/>
    <w:rsid w:val="0083653F"/>
    <w:rsid w:val="008373BF"/>
    <w:rsid w:val="0084023E"/>
    <w:rsid w:val="008524E1"/>
    <w:rsid w:val="00852CA0"/>
    <w:rsid w:val="00852EFB"/>
    <w:rsid w:val="00856BEA"/>
    <w:rsid w:val="00860927"/>
    <w:rsid w:val="0086330E"/>
    <w:rsid w:val="008640A6"/>
    <w:rsid w:val="00865B78"/>
    <w:rsid w:val="0087291E"/>
    <w:rsid w:val="008751E9"/>
    <w:rsid w:val="00875B3A"/>
    <w:rsid w:val="008764A5"/>
    <w:rsid w:val="008817EB"/>
    <w:rsid w:val="00883F4D"/>
    <w:rsid w:val="008873BB"/>
    <w:rsid w:val="00891573"/>
    <w:rsid w:val="00892ACA"/>
    <w:rsid w:val="00897E1E"/>
    <w:rsid w:val="008A22F5"/>
    <w:rsid w:val="008A259A"/>
    <w:rsid w:val="008A44A6"/>
    <w:rsid w:val="008B2E08"/>
    <w:rsid w:val="008C0314"/>
    <w:rsid w:val="008C3852"/>
    <w:rsid w:val="008C5196"/>
    <w:rsid w:val="008D024F"/>
    <w:rsid w:val="008D2BB0"/>
    <w:rsid w:val="008E7679"/>
    <w:rsid w:val="00900501"/>
    <w:rsid w:val="00902A5B"/>
    <w:rsid w:val="00910255"/>
    <w:rsid w:val="00910BD0"/>
    <w:rsid w:val="009156F2"/>
    <w:rsid w:val="0091731E"/>
    <w:rsid w:val="009176E0"/>
    <w:rsid w:val="009216C5"/>
    <w:rsid w:val="00921CD0"/>
    <w:rsid w:val="00930AF4"/>
    <w:rsid w:val="00931124"/>
    <w:rsid w:val="00931A51"/>
    <w:rsid w:val="009359BC"/>
    <w:rsid w:val="00937117"/>
    <w:rsid w:val="0094128D"/>
    <w:rsid w:val="0094601D"/>
    <w:rsid w:val="00947845"/>
    <w:rsid w:val="00950861"/>
    <w:rsid w:val="00951A61"/>
    <w:rsid w:val="0096045F"/>
    <w:rsid w:val="009614D7"/>
    <w:rsid w:val="00963D42"/>
    <w:rsid w:val="00966C4E"/>
    <w:rsid w:val="00972E73"/>
    <w:rsid w:val="009730B5"/>
    <w:rsid w:val="00985B07"/>
    <w:rsid w:val="009A252A"/>
    <w:rsid w:val="009A60E3"/>
    <w:rsid w:val="009B0CD4"/>
    <w:rsid w:val="009B2006"/>
    <w:rsid w:val="009B2D77"/>
    <w:rsid w:val="009B4FC4"/>
    <w:rsid w:val="009C10ED"/>
    <w:rsid w:val="009D7DE9"/>
    <w:rsid w:val="009E5E29"/>
    <w:rsid w:val="009E6540"/>
    <w:rsid w:val="009E7526"/>
    <w:rsid w:val="009E7B16"/>
    <w:rsid w:val="00A000F8"/>
    <w:rsid w:val="00A0436B"/>
    <w:rsid w:val="00A2264C"/>
    <w:rsid w:val="00A25422"/>
    <w:rsid w:val="00A34AEE"/>
    <w:rsid w:val="00A35C13"/>
    <w:rsid w:val="00A42687"/>
    <w:rsid w:val="00A46FD7"/>
    <w:rsid w:val="00A541FE"/>
    <w:rsid w:val="00A560D6"/>
    <w:rsid w:val="00A56C53"/>
    <w:rsid w:val="00A630A3"/>
    <w:rsid w:val="00A64A09"/>
    <w:rsid w:val="00A65693"/>
    <w:rsid w:val="00A815E4"/>
    <w:rsid w:val="00A81C77"/>
    <w:rsid w:val="00A854A5"/>
    <w:rsid w:val="00A90663"/>
    <w:rsid w:val="00A908B1"/>
    <w:rsid w:val="00A96EEF"/>
    <w:rsid w:val="00AA09B0"/>
    <w:rsid w:val="00AA788B"/>
    <w:rsid w:val="00AB0164"/>
    <w:rsid w:val="00AB27FC"/>
    <w:rsid w:val="00AB3369"/>
    <w:rsid w:val="00AB58F4"/>
    <w:rsid w:val="00AC3069"/>
    <w:rsid w:val="00AC5BD7"/>
    <w:rsid w:val="00AD62D9"/>
    <w:rsid w:val="00AE13AF"/>
    <w:rsid w:val="00AE5209"/>
    <w:rsid w:val="00AE5FA4"/>
    <w:rsid w:val="00AF0888"/>
    <w:rsid w:val="00AF3B4B"/>
    <w:rsid w:val="00AF4FA5"/>
    <w:rsid w:val="00AF67F5"/>
    <w:rsid w:val="00AF7331"/>
    <w:rsid w:val="00B027DE"/>
    <w:rsid w:val="00B113AB"/>
    <w:rsid w:val="00B11BB1"/>
    <w:rsid w:val="00B12BF1"/>
    <w:rsid w:val="00B12E20"/>
    <w:rsid w:val="00B13962"/>
    <w:rsid w:val="00B14681"/>
    <w:rsid w:val="00B2209E"/>
    <w:rsid w:val="00B27459"/>
    <w:rsid w:val="00B31880"/>
    <w:rsid w:val="00B319F2"/>
    <w:rsid w:val="00B34F24"/>
    <w:rsid w:val="00B35B32"/>
    <w:rsid w:val="00B3679A"/>
    <w:rsid w:val="00B41679"/>
    <w:rsid w:val="00B42A73"/>
    <w:rsid w:val="00B47334"/>
    <w:rsid w:val="00B554EA"/>
    <w:rsid w:val="00B633F9"/>
    <w:rsid w:val="00B654DE"/>
    <w:rsid w:val="00B76549"/>
    <w:rsid w:val="00B82785"/>
    <w:rsid w:val="00B84F9A"/>
    <w:rsid w:val="00B87946"/>
    <w:rsid w:val="00B9033B"/>
    <w:rsid w:val="00BA766C"/>
    <w:rsid w:val="00BB6799"/>
    <w:rsid w:val="00BB74EF"/>
    <w:rsid w:val="00BC2092"/>
    <w:rsid w:val="00BD00B8"/>
    <w:rsid w:val="00BD14BF"/>
    <w:rsid w:val="00BD569A"/>
    <w:rsid w:val="00BE06CF"/>
    <w:rsid w:val="00BE083A"/>
    <w:rsid w:val="00BE7578"/>
    <w:rsid w:val="00BF132C"/>
    <w:rsid w:val="00BF1CE6"/>
    <w:rsid w:val="00C02303"/>
    <w:rsid w:val="00C110CC"/>
    <w:rsid w:val="00C120A4"/>
    <w:rsid w:val="00C12F76"/>
    <w:rsid w:val="00C15A22"/>
    <w:rsid w:val="00C20281"/>
    <w:rsid w:val="00C2212A"/>
    <w:rsid w:val="00C22D45"/>
    <w:rsid w:val="00C2735F"/>
    <w:rsid w:val="00C40945"/>
    <w:rsid w:val="00C54F39"/>
    <w:rsid w:val="00C560CE"/>
    <w:rsid w:val="00C56AA1"/>
    <w:rsid w:val="00C75E41"/>
    <w:rsid w:val="00C7701F"/>
    <w:rsid w:val="00C805F5"/>
    <w:rsid w:val="00C86B50"/>
    <w:rsid w:val="00C939B0"/>
    <w:rsid w:val="00C94E71"/>
    <w:rsid w:val="00C96271"/>
    <w:rsid w:val="00C9753E"/>
    <w:rsid w:val="00CA1777"/>
    <w:rsid w:val="00CB676E"/>
    <w:rsid w:val="00CC21EE"/>
    <w:rsid w:val="00CD18B6"/>
    <w:rsid w:val="00CD5735"/>
    <w:rsid w:val="00CE007E"/>
    <w:rsid w:val="00CE5F6E"/>
    <w:rsid w:val="00CF0C13"/>
    <w:rsid w:val="00CF6622"/>
    <w:rsid w:val="00CF6F19"/>
    <w:rsid w:val="00CF7BA7"/>
    <w:rsid w:val="00D03EC4"/>
    <w:rsid w:val="00D078C2"/>
    <w:rsid w:val="00D115A0"/>
    <w:rsid w:val="00D13B30"/>
    <w:rsid w:val="00D16EAE"/>
    <w:rsid w:val="00D20265"/>
    <w:rsid w:val="00D226F0"/>
    <w:rsid w:val="00D23F3E"/>
    <w:rsid w:val="00D45145"/>
    <w:rsid w:val="00D50C04"/>
    <w:rsid w:val="00D60D4C"/>
    <w:rsid w:val="00D60F32"/>
    <w:rsid w:val="00D65AE3"/>
    <w:rsid w:val="00D82F14"/>
    <w:rsid w:val="00D8584F"/>
    <w:rsid w:val="00D904C5"/>
    <w:rsid w:val="00DA0F46"/>
    <w:rsid w:val="00DA10E8"/>
    <w:rsid w:val="00DA2D60"/>
    <w:rsid w:val="00DA49F3"/>
    <w:rsid w:val="00DA4D55"/>
    <w:rsid w:val="00DB1847"/>
    <w:rsid w:val="00DB2C64"/>
    <w:rsid w:val="00DC09E0"/>
    <w:rsid w:val="00DC44AF"/>
    <w:rsid w:val="00DD03D3"/>
    <w:rsid w:val="00DD475B"/>
    <w:rsid w:val="00DE057E"/>
    <w:rsid w:val="00DE175D"/>
    <w:rsid w:val="00DF0881"/>
    <w:rsid w:val="00DF1C09"/>
    <w:rsid w:val="00DF6261"/>
    <w:rsid w:val="00E03F99"/>
    <w:rsid w:val="00E13765"/>
    <w:rsid w:val="00E13996"/>
    <w:rsid w:val="00E208CA"/>
    <w:rsid w:val="00E20FD1"/>
    <w:rsid w:val="00E246F8"/>
    <w:rsid w:val="00E26A28"/>
    <w:rsid w:val="00E27C4B"/>
    <w:rsid w:val="00E330D5"/>
    <w:rsid w:val="00E339E5"/>
    <w:rsid w:val="00E354B5"/>
    <w:rsid w:val="00E36628"/>
    <w:rsid w:val="00E454AD"/>
    <w:rsid w:val="00E51512"/>
    <w:rsid w:val="00E526BC"/>
    <w:rsid w:val="00E56009"/>
    <w:rsid w:val="00E5756D"/>
    <w:rsid w:val="00E606AA"/>
    <w:rsid w:val="00E62D60"/>
    <w:rsid w:val="00E724DF"/>
    <w:rsid w:val="00E72C61"/>
    <w:rsid w:val="00E814F1"/>
    <w:rsid w:val="00E86980"/>
    <w:rsid w:val="00E877F8"/>
    <w:rsid w:val="00E95A96"/>
    <w:rsid w:val="00EA59DF"/>
    <w:rsid w:val="00EA79CB"/>
    <w:rsid w:val="00EC0B44"/>
    <w:rsid w:val="00EC11F7"/>
    <w:rsid w:val="00EC195A"/>
    <w:rsid w:val="00EC1E15"/>
    <w:rsid w:val="00EC534E"/>
    <w:rsid w:val="00ED2731"/>
    <w:rsid w:val="00ED4175"/>
    <w:rsid w:val="00ED6D01"/>
    <w:rsid w:val="00EF0578"/>
    <w:rsid w:val="00EF7592"/>
    <w:rsid w:val="00EF7662"/>
    <w:rsid w:val="00F1583B"/>
    <w:rsid w:val="00F20565"/>
    <w:rsid w:val="00F33C31"/>
    <w:rsid w:val="00F3721B"/>
    <w:rsid w:val="00F42D84"/>
    <w:rsid w:val="00F433A2"/>
    <w:rsid w:val="00F444FB"/>
    <w:rsid w:val="00F47095"/>
    <w:rsid w:val="00F52060"/>
    <w:rsid w:val="00F54ADD"/>
    <w:rsid w:val="00F56531"/>
    <w:rsid w:val="00F63458"/>
    <w:rsid w:val="00F6667C"/>
    <w:rsid w:val="00F67309"/>
    <w:rsid w:val="00F67D78"/>
    <w:rsid w:val="00F70423"/>
    <w:rsid w:val="00F70C13"/>
    <w:rsid w:val="00F711E9"/>
    <w:rsid w:val="00F736E9"/>
    <w:rsid w:val="00F74887"/>
    <w:rsid w:val="00F754FF"/>
    <w:rsid w:val="00F77DE8"/>
    <w:rsid w:val="00F903D1"/>
    <w:rsid w:val="00F91515"/>
    <w:rsid w:val="00F94D42"/>
    <w:rsid w:val="00F94F5F"/>
    <w:rsid w:val="00F97917"/>
    <w:rsid w:val="00FA1174"/>
    <w:rsid w:val="00FA39AA"/>
    <w:rsid w:val="00FA7778"/>
    <w:rsid w:val="00FB0D7E"/>
    <w:rsid w:val="00FB2B89"/>
    <w:rsid w:val="00FC31F4"/>
    <w:rsid w:val="00FC552E"/>
    <w:rsid w:val="00FD3DA5"/>
    <w:rsid w:val="00FD4DDC"/>
    <w:rsid w:val="00FD7998"/>
    <w:rsid w:val="00FF0E68"/>
    <w:rsid w:val="00FF2AC3"/>
    <w:rsid w:val="00FF45DD"/>
    <w:rsid w:val="00FF5E23"/>
    <w:rsid w:val="00FF7509"/>
    <w:rsid w:val="051B17C5"/>
    <w:rsid w:val="05934D61"/>
    <w:rsid w:val="06B05678"/>
    <w:rsid w:val="06B208AC"/>
    <w:rsid w:val="0B1C37A0"/>
    <w:rsid w:val="0B210F07"/>
    <w:rsid w:val="0B3827E1"/>
    <w:rsid w:val="0C0753B5"/>
    <w:rsid w:val="0C817C71"/>
    <w:rsid w:val="0DC00A40"/>
    <w:rsid w:val="1084420B"/>
    <w:rsid w:val="14FF049D"/>
    <w:rsid w:val="165E3B32"/>
    <w:rsid w:val="16800544"/>
    <w:rsid w:val="187F00E1"/>
    <w:rsid w:val="1C89084C"/>
    <w:rsid w:val="1D2970DB"/>
    <w:rsid w:val="1D2A022A"/>
    <w:rsid w:val="203567D9"/>
    <w:rsid w:val="21293AB6"/>
    <w:rsid w:val="21B75668"/>
    <w:rsid w:val="23816311"/>
    <w:rsid w:val="2DB0210D"/>
    <w:rsid w:val="2FCA3EC8"/>
    <w:rsid w:val="305B49D9"/>
    <w:rsid w:val="32661181"/>
    <w:rsid w:val="361A1968"/>
    <w:rsid w:val="376E2837"/>
    <w:rsid w:val="38560CEF"/>
    <w:rsid w:val="38CC46D4"/>
    <w:rsid w:val="3B0F2C9B"/>
    <w:rsid w:val="3E3754AE"/>
    <w:rsid w:val="41A12EED"/>
    <w:rsid w:val="43957345"/>
    <w:rsid w:val="4B6B2010"/>
    <w:rsid w:val="50AD68D9"/>
    <w:rsid w:val="51075D94"/>
    <w:rsid w:val="559A799A"/>
    <w:rsid w:val="59684985"/>
    <w:rsid w:val="5DF74AAA"/>
    <w:rsid w:val="5F2209A7"/>
    <w:rsid w:val="5F30719A"/>
    <w:rsid w:val="645A4BC6"/>
    <w:rsid w:val="64970E09"/>
    <w:rsid w:val="6544024E"/>
    <w:rsid w:val="6DCA168E"/>
    <w:rsid w:val="6FAE6799"/>
    <w:rsid w:val="754E3458"/>
    <w:rsid w:val="761E17E4"/>
    <w:rsid w:val="76F70D6F"/>
    <w:rsid w:val="7C3F490C"/>
    <w:rsid w:val="7C4863CD"/>
    <w:rsid w:val="7C94524B"/>
    <w:rsid w:val="7F5D3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szCs w:val="24"/>
      <w:lang w:val="en-US" w:eastAsia="zh-CN" w:bidi="ar-SA"/>
    </w:rPr>
  </w:style>
  <w:style w:type="paragraph" w:styleId="2">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9"/>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link w:val="46"/>
    <w:qFormat/>
    <w:uiPriority w:val="99"/>
    <w:pPr>
      <w:keepNext/>
      <w:keepLines/>
      <w:spacing w:before="280" w:after="290" w:line="376" w:lineRule="auto"/>
      <w:outlineLvl w:val="4"/>
    </w:pPr>
    <w:rPr>
      <w:rFonts w:eastAsia="宋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caption"/>
    <w:basedOn w:val="1"/>
    <w:next w:val="1"/>
    <w:qFormat/>
    <w:uiPriority w:val="0"/>
    <w:pPr>
      <w:jc w:val="left"/>
    </w:pPr>
    <w:rPr>
      <w:rFonts w:eastAsia="PMingLiU"/>
      <w:sz w:val="20"/>
      <w:szCs w:val="20"/>
      <w:lang w:eastAsia="zh-TW"/>
    </w:rPr>
  </w:style>
  <w:style w:type="paragraph" w:styleId="9">
    <w:name w:val="toa heading"/>
    <w:basedOn w:val="1"/>
    <w:next w:val="1"/>
    <w:semiHidden/>
    <w:qFormat/>
    <w:uiPriority w:val="0"/>
    <w:pPr>
      <w:spacing w:before="120"/>
    </w:pPr>
    <w:rPr>
      <w:rFonts w:ascii="Arial" w:hAnsi="Arial"/>
      <w:sz w:val="24"/>
    </w:rPr>
  </w:style>
  <w:style w:type="paragraph" w:styleId="10">
    <w:name w:val="annotation text"/>
    <w:basedOn w:val="1"/>
    <w:link w:val="50"/>
    <w:qFormat/>
    <w:uiPriority w:val="0"/>
    <w:pPr>
      <w:spacing w:line="360" w:lineRule="auto"/>
      <w:jc w:val="left"/>
    </w:pPr>
    <w:rPr>
      <w:rFonts w:eastAsia="宋体"/>
    </w:rPr>
  </w:style>
  <w:style w:type="paragraph" w:styleId="11">
    <w:name w:val="Body Text 3"/>
    <w:basedOn w:val="1"/>
    <w:link w:val="51"/>
    <w:unhideWhenUsed/>
    <w:qFormat/>
    <w:uiPriority w:val="99"/>
    <w:pPr>
      <w:spacing w:after="120"/>
    </w:pPr>
    <w:rPr>
      <w:rFonts w:ascii="Calibri" w:hAnsi="Calibri" w:eastAsia="宋体"/>
      <w:kern w:val="0"/>
      <w:sz w:val="16"/>
      <w:szCs w:val="16"/>
    </w:rPr>
  </w:style>
  <w:style w:type="paragraph" w:styleId="12">
    <w:name w:val="Body Text"/>
    <w:basedOn w:val="1"/>
    <w:next w:val="13"/>
    <w:link w:val="48"/>
    <w:qFormat/>
    <w:uiPriority w:val="0"/>
    <w:pPr>
      <w:spacing w:after="120"/>
    </w:pPr>
  </w:style>
  <w:style w:type="paragraph" w:customStyle="1" w:styleId="13">
    <w:name w:val="Default"/>
    <w:qFormat/>
    <w:uiPriority w:val="0"/>
    <w:pPr>
      <w:widowControl w:val="0"/>
      <w:autoSpaceDE w:val="0"/>
      <w:autoSpaceDN w:val="0"/>
      <w:adjustRightInd w:val="0"/>
    </w:pPr>
    <w:rPr>
      <w:rFonts w:ascii="DFKai-SB" w:hAnsi="Times New Roman" w:eastAsia="DFKai-SB" w:cs="DFKai-SB"/>
      <w:color w:val="000000"/>
      <w:sz w:val="24"/>
      <w:szCs w:val="24"/>
      <w:lang w:val="en-US" w:eastAsia="zh-TW" w:bidi="ar-SA"/>
    </w:rPr>
  </w:style>
  <w:style w:type="paragraph" w:styleId="14">
    <w:name w:val="Body Text Indent"/>
    <w:basedOn w:val="1"/>
    <w:qFormat/>
    <w:uiPriority w:val="0"/>
    <w:pPr>
      <w:ind w:firstLine="630"/>
      <w:jc w:val="left"/>
    </w:pPr>
    <w:rPr>
      <w:rFonts w:ascii="宋体" w:hAnsi="宋体"/>
      <w:sz w:val="30"/>
    </w:rPr>
  </w:style>
  <w:style w:type="paragraph" w:styleId="15">
    <w:name w:val="index 4"/>
    <w:basedOn w:val="1"/>
    <w:next w:val="1"/>
    <w:qFormat/>
    <w:uiPriority w:val="99"/>
    <w:pPr>
      <w:ind w:left="600" w:leftChars="600"/>
      <w:jc w:val="left"/>
    </w:pPr>
    <w:rPr>
      <w:rFonts w:ascii="DFKai-SB" w:eastAsia="DFKai-SB"/>
      <w:sz w:val="28"/>
      <w:lang w:eastAsia="zh-TW"/>
    </w:rPr>
  </w:style>
  <w:style w:type="paragraph" w:styleId="16">
    <w:name w:val="Plain Text"/>
    <w:basedOn w:val="1"/>
    <w:qFormat/>
    <w:uiPriority w:val="0"/>
    <w:rPr>
      <w:rFonts w:ascii="宋体" w:hAnsi="Courier New"/>
      <w:szCs w:val="20"/>
    </w:rPr>
  </w:style>
  <w:style w:type="paragraph" w:styleId="17">
    <w:name w:val="Balloon Text"/>
    <w:basedOn w:val="1"/>
    <w:link w:val="44"/>
    <w:qFormat/>
    <w:uiPriority w:val="0"/>
    <w:rPr>
      <w:sz w:val="18"/>
      <w:szCs w:val="18"/>
    </w:rPr>
  </w:style>
  <w:style w:type="paragraph" w:styleId="18">
    <w:name w:val="footer"/>
    <w:basedOn w:val="1"/>
    <w:link w:val="61"/>
    <w:qFormat/>
    <w:uiPriority w:val="99"/>
    <w:pPr>
      <w:tabs>
        <w:tab w:val="center" w:pos="4153"/>
        <w:tab w:val="right" w:pos="8306"/>
      </w:tabs>
      <w:snapToGrid w:val="0"/>
      <w:jc w:val="left"/>
    </w:pPr>
    <w:rPr>
      <w:sz w:val="18"/>
      <w:szCs w:val="18"/>
    </w:rPr>
  </w:style>
  <w:style w:type="paragraph" w:styleId="19">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pPr>
      <w:spacing w:line="360" w:lineRule="auto"/>
      <w:jc w:val="center"/>
    </w:pPr>
    <w:rPr>
      <w:rFonts w:ascii="宋体" w:hAnsi="宋体"/>
      <w:sz w:val="24"/>
    </w:rPr>
  </w:style>
  <w:style w:type="paragraph" w:styleId="21">
    <w:name w:val="Normal (Web)"/>
    <w:basedOn w:val="1"/>
    <w:qFormat/>
    <w:uiPriority w:val="0"/>
    <w:pPr>
      <w:widowControl/>
      <w:spacing w:beforeAutospacing="1" w:afterAutospacing="1"/>
      <w:jc w:val="left"/>
    </w:pPr>
    <w:rPr>
      <w:rFonts w:ascii="宋体" w:hAnsi="宋体" w:cs="宋体"/>
      <w:kern w:val="0"/>
      <w:sz w:val="24"/>
    </w:rPr>
  </w:style>
  <w:style w:type="paragraph" w:styleId="22">
    <w:name w:val="annotation subject"/>
    <w:basedOn w:val="10"/>
    <w:next w:val="10"/>
    <w:link w:val="72"/>
    <w:qFormat/>
    <w:uiPriority w:val="0"/>
    <w:pPr>
      <w:spacing w:line="240" w:lineRule="auto"/>
    </w:pPr>
    <w:rPr>
      <w:rFonts w:eastAsia="Times New Roman"/>
      <w:b/>
      <w:bCs/>
    </w:rPr>
  </w:style>
  <w:style w:type="paragraph" w:styleId="23">
    <w:name w:val="Body Text First Indent"/>
    <w:basedOn w:val="12"/>
    <w:link w:val="49"/>
    <w:qFormat/>
    <w:uiPriority w:val="0"/>
    <w:pPr>
      <w:spacing w:line="360" w:lineRule="auto"/>
    </w:pPr>
    <w:rPr>
      <w:rFonts w:eastAsia="宋体"/>
    </w:rPr>
  </w:style>
  <w:style w:type="paragraph" w:styleId="24">
    <w:name w:val="Body Text First Indent 2"/>
    <w:basedOn w:val="14"/>
    <w:qFormat/>
    <w:uiPriority w:val="0"/>
    <w:pPr>
      <w:ind w:left="480" w:leftChars="200" w:firstLine="210" w:firstLineChars="100"/>
    </w:pPr>
    <w:rPr>
      <w:rFonts w:ascii="DFKai-SB" w:hAnsi="Times New Roman" w:eastAsia="DFKai-SB"/>
      <w:sz w:val="28"/>
      <w:lang w:eastAsia="zh-TW"/>
    </w:rPr>
  </w:style>
  <w:style w:type="table" w:styleId="26">
    <w:name w:val="Table Grid"/>
    <w:basedOn w:val="2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qFormat/>
    <w:uiPriority w:val="0"/>
    <w:rPr>
      <w:rFonts w:ascii="仿宋_GB2312" w:eastAsia="仿宋_GB2312"/>
      <w:bCs/>
      <w:sz w:val="32"/>
      <w:szCs w:val="32"/>
    </w:rPr>
  </w:style>
  <w:style w:type="character" w:styleId="29">
    <w:name w:val="Hyperlink"/>
    <w:qFormat/>
    <w:uiPriority w:val="99"/>
    <w:rPr>
      <w:rFonts w:ascii="Tahoma" w:hAnsi="Tahoma"/>
      <w:color w:val="000000"/>
      <w:kern w:val="2"/>
      <w:sz w:val="24"/>
      <w:u w:val="none"/>
    </w:rPr>
  </w:style>
  <w:style w:type="character" w:styleId="30">
    <w:name w:val="annotation reference"/>
    <w:basedOn w:val="27"/>
    <w:qFormat/>
    <w:uiPriority w:val="0"/>
    <w:rPr>
      <w:sz w:val="21"/>
      <w:szCs w:val="21"/>
    </w:rPr>
  </w:style>
  <w:style w:type="paragraph" w:customStyle="1" w:styleId="31">
    <w:name w:val="Char"/>
    <w:basedOn w:val="1"/>
    <w:next w:val="1"/>
    <w:qFormat/>
    <w:uiPriority w:val="0"/>
    <w:pPr>
      <w:spacing w:beforeAutospacing="1" w:afterAutospacing="1"/>
    </w:pPr>
    <w:rPr>
      <w:rFonts w:ascii="仿宋_GB2312" w:eastAsia="仿宋_GB2312"/>
      <w:b/>
      <w:sz w:val="32"/>
      <w:szCs w:val="32"/>
    </w:rPr>
  </w:style>
  <w:style w:type="paragraph" w:customStyle="1" w:styleId="32">
    <w:name w:val="样式9 Char"/>
    <w:basedOn w:val="1"/>
    <w:qFormat/>
    <w:uiPriority w:val="0"/>
    <w:pPr>
      <w:spacing w:line="440" w:lineRule="exact"/>
      <w:ind w:firstLine="200" w:firstLineChars="200"/>
    </w:pPr>
    <w:rPr>
      <w:spacing w:val="6"/>
      <w:sz w:val="24"/>
    </w:rPr>
  </w:style>
  <w:style w:type="paragraph" w:customStyle="1" w:styleId="33">
    <w:name w:val="样式29"/>
    <w:basedOn w:val="32"/>
    <w:qFormat/>
    <w:uiPriority w:val="0"/>
    <w:pPr>
      <w:widowControl/>
      <w:jc w:val="left"/>
    </w:pPr>
    <w:rPr>
      <w:rFonts w:eastAsia="楷体_GB2312"/>
      <w:kern w:val="0"/>
      <w:szCs w:val="20"/>
    </w:rPr>
  </w:style>
  <w:style w:type="paragraph" w:customStyle="1" w:styleId="34">
    <w:name w:val="样式7"/>
    <w:basedOn w:val="1"/>
    <w:qFormat/>
    <w:uiPriority w:val="0"/>
    <w:pPr>
      <w:spacing w:line="480" w:lineRule="exact"/>
      <w:jc w:val="center"/>
    </w:pPr>
    <w:rPr>
      <w:rFonts w:eastAsia="方正大标宋简体"/>
      <w:spacing w:val="6"/>
      <w:sz w:val="44"/>
    </w:rPr>
  </w:style>
  <w:style w:type="paragraph" w:customStyle="1" w:styleId="35">
    <w:name w:val="样式3"/>
    <w:basedOn w:val="1"/>
    <w:qFormat/>
    <w:uiPriority w:val="0"/>
    <w:pPr>
      <w:spacing w:line="480" w:lineRule="exact"/>
      <w:jc w:val="center"/>
    </w:pPr>
    <w:rPr>
      <w:rFonts w:ascii="Arial" w:hAnsi="Arial" w:eastAsia="黑体"/>
      <w:spacing w:val="6"/>
      <w:sz w:val="32"/>
    </w:rPr>
  </w:style>
  <w:style w:type="paragraph" w:customStyle="1" w:styleId="36">
    <w:name w:val="Normal_5"/>
    <w:qFormat/>
    <w:uiPriority w:val="0"/>
    <w:pPr>
      <w:spacing w:before="120" w:after="240"/>
      <w:jc w:val="both"/>
    </w:pPr>
    <w:rPr>
      <w:rFonts w:ascii="Calibri" w:hAnsi="Calibri" w:eastAsia="宋体" w:cs="Times New Roman"/>
      <w:sz w:val="22"/>
      <w:szCs w:val="22"/>
      <w:lang w:val="en-US" w:eastAsia="en-US" w:bidi="ar-SA"/>
    </w:rPr>
  </w:style>
  <w:style w:type="paragraph" w:customStyle="1" w:styleId="37">
    <w:name w:val="Normal_6"/>
    <w:qFormat/>
    <w:uiPriority w:val="0"/>
    <w:pPr>
      <w:spacing w:before="120" w:after="240"/>
      <w:jc w:val="both"/>
    </w:pPr>
    <w:rPr>
      <w:rFonts w:ascii="Calibri" w:hAnsi="Calibri" w:eastAsia="宋体" w:cs="Times New Roman"/>
      <w:sz w:val="22"/>
      <w:szCs w:val="22"/>
      <w:lang w:val="en-US" w:eastAsia="en-US" w:bidi="ar-SA"/>
    </w:rPr>
  </w:style>
  <w:style w:type="paragraph" w:customStyle="1" w:styleId="38">
    <w:name w:val="Normal_7"/>
    <w:qFormat/>
    <w:uiPriority w:val="0"/>
    <w:pPr>
      <w:spacing w:before="120" w:after="240"/>
      <w:jc w:val="both"/>
    </w:pPr>
    <w:rPr>
      <w:rFonts w:ascii="Calibri" w:hAnsi="Calibri" w:eastAsia="宋体" w:cs="Times New Roman"/>
      <w:sz w:val="22"/>
      <w:szCs w:val="22"/>
      <w:lang w:val="en-US" w:eastAsia="en-US" w:bidi="ar-SA"/>
    </w:rPr>
  </w:style>
  <w:style w:type="paragraph" w:customStyle="1" w:styleId="39">
    <w:name w:val="Normal_10"/>
    <w:qFormat/>
    <w:uiPriority w:val="0"/>
    <w:pPr>
      <w:spacing w:before="120" w:after="240"/>
      <w:jc w:val="both"/>
    </w:pPr>
    <w:rPr>
      <w:rFonts w:ascii="Calibri" w:hAnsi="Calibri" w:eastAsia="宋体" w:cs="Times New Roman"/>
      <w:sz w:val="22"/>
      <w:szCs w:val="22"/>
      <w:lang w:val="en-US" w:eastAsia="en-US" w:bidi="ar-SA"/>
    </w:rPr>
  </w:style>
  <w:style w:type="paragraph" w:customStyle="1" w:styleId="40">
    <w:name w:val="Normal_11"/>
    <w:qFormat/>
    <w:uiPriority w:val="0"/>
    <w:pPr>
      <w:spacing w:before="120" w:after="240"/>
      <w:jc w:val="both"/>
    </w:pPr>
    <w:rPr>
      <w:rFonts w:ascii="Calibri" w:hAnsi="Calibri" w:eastAsia="宋体" w:cs="Times New Roman"/>
      <w:sz w:val="22"/>
      <w:szCs w:val="22"/>
      <w:lang w:val="en-US" w:eastAsia="en-US" w:bidi="ar-SA"/>
    </w:rPr>
  </w:style>
  <w:style w:type="paragraph" w:customStyle="1" w:styleId="41">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42">
    <w:name w:val="列出段落1"/>
    <w:basedOn w:val="1"/>
    <w:qFormat/>
    <w:uiPriority w:val="34"/>
    <w:pPr>
      <w:widowControl/>
      <w:spacing w:after="200" w:line="276" w:lineRule="auto"/>
      <w:ind w:left="720"/>
      <w:contextualSpacing/>
      <w:jc w:val="left"/>
    </w:pPr>
    <w:rPr>
      <w:rFonts w:ascii="Arial" w:hAnsi="Arial"/>
      <w:kern w:val="0"/>
      <w:sz w:val="20"/>
      <w:szCs w:val="22"/>
      <w:lang w:eastAsia="de-CH"/>
    </w:rPr>
  </w:style>
  <w:style w:type="table" w:customStyle="1" w:styleId="43">
    <w:name w:val="Table Normal"/>
    <w:semiHidden/>
    <w:unhideWhenUsed/>
    <w:qFormat/>
    <w:uiPriority w:val="2"/>
    <w:tblPr>
      <w:tblLayout w:type="fixed"/>
      <w:tblCellMar>
        <w:top w:w="0" w:type="dxa"/>
        <w:left w:w="0" w:type="dxa"/>
        <w:bottom w:w="0" w:type="dxa"/>
        <w:right w:w="0" w:type="dxa"/>
      </w:tblCellMar>
    </w:tblPr>
  </w:style>
  <w:style w:type="character" w:customStyle="1" w:styleId="44">
    <w:name w:val="批注框文本 Char"/>
    <w:basedOn w:val="27"/>
    <w:link w:val="17"/>
    <w:qFormat/>
    <w:uiPriority w:val="0"/>
    <w:rPr>
      <w:rFonts w:ascii="Times New Roman" w:hAnsi="Times New Roman" w:eastAsia="Times New Roman"/>
      <w:kern w:val="2"/>
      <w:sz w:val="18"/>
      <w:szCs w:val="18"/>
    </w:rPr>
  </w:style>
  <w:style w:type="character" w:customStyle="1" w:styleId="45">
    <w:name w:val="标题 4 Char"/>
    <w:basedOn w:val="27"/>
    <w:link w:val="5"/>
    <w:qFormat/>
    <w:uiPriority w:val="0"/>
    <w:rPr>
      <w:rFonts w:ascii="Cambria" w:hAnsi="Cambria"/>
      <w:b/>
      <w:bCs/>
      <w:kern w:val="2"/>
      <w:sz w:val="28"/>
      <w:szCs w:val="28"/>
    </w:rPr>
  </w:style>
  <w:style w:type="character" w:customStyle="1" w:styleId="46">
    <w:name w:val="标题 5 Char"/>
    <w:basedOn w:val="27"/>
    <w:link w:val="6"/>
    <w:qFormat/>
    <w:uiPriority w:val="99"/>
    <w:rPr>
      <w:rFonts w:ascii="Times New Roman" w:hAnsi="Times New Roman"/>
      <w:b/>
      <w:bCs/>
      <w:kern w:val="2"/>
      <w:sz w:val="28"/>
      <w:szCs w:val="28"/>
    </w:rPr>
  </w:style>
  <w:style w:type="paragraph" w:customStyle="1" w:styleId="47">
    <w:name w:val="表格文字"/>
    <w:basedOn w:val="1"/>
    <w:next w:val="12"/>
    <w:qFormat/>
    <w:uiPriority w:val="0"/>
    <w:pPr>
      <w:spacing w:line="360" w:lineRule="auto"/>
      <w:jc w:val="left"/>
    </w:pPr>
    <w:rPr>
      <w:rFonts w:eastAsia="宋体"/>
      <w:bCs/>
      <w:spacing w:val="10"/>
      <w:kern w:val="0"/>
      <w:szCs w:val="20"/>
    </w:rPr>
  </w:style>
  <w:style w:type="character" w:customStyle="1" w:styleId="48">
    <w:name w:val="正文文本 Char"/>
    <w:basedOn w:val="27"/>
    <w:link w:val="12"/>
    <w:uiPriority w:val="0"/>
    <w:rPr>
      <w:rFonts w:ascii="Times New Roman" w:hAnsi="Times New Roman" w:eastAsia="Times New Roman"/>
      <w:kern w:val="2"/>
      <w:sz w:val="21"/>
      <w:szCs w:val="24"/>
    </w:rPr>
  </w:style>
  <w:style w:type="character" w:customStyle="1" w:styleId="49">
    <w:name w:val="正文首行缩进 Char"/>
    <w:basedOn w:val="48"/>
    <w:link w:val="23"/>
    <w:qFormat/>
    <w:uiPriority w:val="0"/>
  </w:style>
  <w:style w:type="character" w:customStyle="1" w:styleId="50">
    <w:name w:val="批注文字 Char"/>
    <w:basedOn w:val="27"/>
    <w:link w:val="10"/>
    <w:qFormat/>
    <w:uiPriority w:val="0"/>
    <w:rPr>
      <w:rFonts w:ascii="Times New Roman" w:hAnsi="Times New Roman"/>
      <w:kern w:val="2"/>
      <w:sz w:val="21"/>
      <w:szCs w:val="24"/>
    </w:rPr>
  </w:style>
  <w:style w:type="character" w:customStyle="1" w:styleId="51">
    <w:name w:val="正文文本 3 Char"/>
    <w:basedOn w:val="27"/>
    <w:link w:val="11"/>
    <w:qFormat/>
    <w:uiPriority w:val="99"/>
    <w:rPr>
      <w:sz w:val="16"/>
      <w:szCs w:val="16"/>
    </w:rPr>
  </w:style>
  <w:style w:type="character" w:customStyle="1" w:styleId="52">
    <w:name w:val="标题 4 字符"/>
    <w:basedOn w:val="27"/>
    <w:semiHidden/>
    <w:qFormat/>
    <w:uiPriority w:val="9"/>
    <w:rPr>
      <w:rFonts w:asciiTheme="majorHAnsi" w:hAnsiTheme="majorHAnsi" w:eastAsiaTheme="majorEastAsia" w:cstheme="majorBidi"/>
      <w:b/>
      <w:bCs/>
      <w:kern w:val="2"/>
      <w:sz w:val="28"/>
      <w:szCs w:val="28"/>
    </w:rPr>
  </w:style>
  <w:style w:type="character" w:customStyle="1" w:styleId="53">
    <w:name w:val="标题 5 字符"/>
    <w:basedOn w:val="27"/>
    <w:semiHidden/>
    <w:qFormat/>
    <w:uiPriority w:val="9"/>
    <w:rPr>
      <w:rFonts w:ascii="Times New Roman" w:hAnsi="Times New Roman"/>
      <w:b/>
      <w:bCs/>
      <w:kern w:val="2"/>
      <w:sz w:val="28"/>
      <w:szCs w:val="28"/>
    </w:rPr>
  </w:style>
  <w:style w:type="character" w:customStyle="1" w:styleId="54">
    <w:name w:val="标题 1 字符"/>
    <w:basedOn w:val="27"/>
    <w:qFormat/>
    <w:uiPriority w:val="9"/>
    <w:rPr>
      <w:b/>
      <w:bCs/>
      <w:kern w:val="44"/>
      <w:sz w:val="44"/>
      <w:szCs w:val="44"/>
    </w:rPr>
  </w:style>
  <w:style w:type="character" w:customStyle="1" w:styleId="55">
    <w:name w:val="标题 2 字符"/>
    <w:basedOn w:val="27"/>
    <w:semiHidden/>
    <w:qFormat/>
    <w:uiPriority w:val="9"/>
    <w:rPr>
      <w:rFonts w:asciiTheme="majorHAnsi" w:hAnsiTheme="majorHAnsi" w:eastAsiaTheme="majorEastAsia" w:cstheme="majorBidi"/>
      <w:b/>
      <w:bCs/>
      <w:kern w:val="2"/>
      <w:sz w:val="32"/>
      <w:szCs w:val="32"/>
    </w:rPr>
  </w:style>
  <w:style w:type="character" w:customStyle="1" w:styleId="56">
    <w:name w:val="标题 3 字符"/>
    <w:basedOn w:val="27"/>
    <w:semiHidden/>
    <w:qFormat/>
    <w:uiPriority w:val="9"/>
    <w:rPr>
      <w:b/>
      <w:bCs/>
      <w:kern w:val="2"/>
      <w:sz w:val="32"/>
      <w:szCs w:val="32"/>
    </w:rPr>
  </w:style>
  <w:style w:type="character" w:customStyle="1" w:styleId="57">
    <w:name w:val="页眉 Char"/>
    <w:basedOn w:val="27"/>
    <w:link w:val="19"/>
    <w:qFormat/>
    <w:uiPriority w:val="99"/>
    <w:rPr>
      <w:rFonts w:ascii="Times New Roman" w:hAnsi="Times New Roman" w:eastAsia="Times New Roman"/>
      <w:kern w:val="2"/>
      <w:sz w:val="18"/>
      <w:szCs w:val="18"/>
    </w:rPr>
  </w:style>
  <w:style w:type="character" w:customStyle="1" w:styleId="58">
    <w:name w:val="标题 3 Char"/>
    <w:basedOn w:val="27"/>
    <w:link w:val="4"/>
    <w:qFormat/>
    <w:uiPriority w:val="9"/>
    <w:rPr>
      <w:rFonts w:ascii="Times New Roman" w:hAnsi="Times New Roman" w:eastAsia="Times New Roman"/>
      <w:b/>
      <w:bCs/>
      <w:kern w:val="2"/>
      <w:sz w:val="32"/>
      <w:szCs w:val="32"/>
    </w:rPr>
  </w:style>
  <w:style w:type="character" w:customStyle="1" w:styleId="59">
    <w:name w:val="标题 1 Char"/>
    <w:basedOn w:val="27"/>
    <w:link w:val="2"/>
    <w:uiPriority w:val="9"/>
    <w:rPr>
      <w:rFonts w:ascii="Times New Roman" w:hAnsi="Times New Roman" w:eastAsia="Times New Roman"/>
      <w:b/>
      <w:bCs/>
      <w:kern w:val="44"/>
      <w:sz w:val="44"/>
      <w:szCs w:val="44"/>
    </w:rPr>
  </w:style>
  <w:style w:type="character" w:customStyle="1" w:styleId="60">
    <w:name w:val="标题 2 Char"/>
    <w:basedOn w:val="27"/>
    <w:link w:val="3"/>
    <w:qFormat/>
    <w:uiPriority w:val="0"/>
    <w:rPr>
      <w:rFonts w:ascii="Arial" w:hAnsi="Arial" w:eastAsia="黑体"/>
      <w:b/>
      <w:bCs/>
      <w:kern w:val="2"/>
      <w:sz w:val="32"/>
      <w:szCs w:val="32"/>
    </w:rPr>
  </w:style>
  <w:style w:type="character" w:customStyle="1" w:styleId="61">
    <w:name w:val="页脚 Char"/>
    <w:basedOn w:val="27"/>
    <w:link w:val="18"/>
    <w:qFormat/>
    <w:uiPriority w:val="99"/>
    <w:rPr>
      <w:rFonts w:ascii="Times New Roman" w:hAnsi="Times New Roman" w:eastAsia="Times New Roman"/>
      <w:kern w:val="2"/>
      <w:sz w:val="18"/>
      <w:szCs w:val="18"/>
    </w:rPr>
  </w:style>
  <w:style w:type="character" w:customStyle="1" w:styleId="62">
    <w:name w:val="页眉 字符"/>
    <w:basedOn w:val="27"/>
    <w:semiHidden/>
    <w:qFormat/>
    <w:uiPriority w:val="99"/>
    <w:rPr>
      <w:kern w:val="2"/>
      <w:sz w:val="18"/>
      <w:szCs w:val="18"/>
    </w:rPr>
  </w:style>
  <w:style w:type="character" w:customStyle="1" w:styleId="63">
    <w:name w:val="正文文本 3 字符"/>
    <w:basedOn w:val="27"/>
    <w:uiPriority w:val="99"/>
    <w:rPr>
      <w:rFonts w:ascii="Times New Roman" w:hAnsi="Times New Roman"/>
      <w:kern w:val="2"/>
      <w:sz w:val="16"/>
      <w:szCs w:val="16"/>
    </w:rPr>
  </w:style>
  <w:style w:type="character" w:customStyle="1" w:styleId="64">
    <w:name w:val="页脚 字符"/>
    <w:basedOn w:val="27"/>
    <w:semiHidden/>
    <w:qFormat/>
    <w:uiPriority w:val="99"/>
    <w:rPr>
      <w:kern w:val="2"/>
      <w:sz w:val="18"/>
      <w:szCs w:val="18"/>
    </w:rPr>
  </w:style>
  <w:style w:type="paragraph" w:customStyle="1" w:styleId="65">
    <w:name w:val="列出段落2"/>
    <w:basedOn w:val="1"/>
    <w:qFormat/>
    <w:uiPriority w:val="34"/>
    <w:pPr>
      <w:widowControl/>
      <w:spacing w:after="200" w:line="276" w:lineRule="auto"/>
      <w:ind w:firstLine="420" w:firstLineChars="200"/>
      <w:jc w:val="left"/>
    </w:pPr>
    <w:rPr>
      <w:rFonts w:ascii="Calibri" w:hAnsi="Calibri" w:eastAsia="宋体"/>
      <w:kern w:val="0"/>
      <w:sz w:val="22"/>
      <w:szCs w:val="22"/>
      <w:lang w:eastAsia="en-US" w:bidi="en-US"/>
    </w:rPr>
  </w:style>
  <w:style w:type="paragraph" w:customStyle="1" w:styleId="66">
    <w:name w:val="表正文"/>
    <w:basedOn w:val="1"/>
    <w:next w:val="11"/>
    <w:qFormat/>
    <w:uiPriority w:val="0"/>
    <w:pPr>
      <w:spacing w:after="120"/>
    </w:pPr>
    <w:rPr>
      <w:rFonts w:eastAsia="宋体"/>
      <w:sz w:val="16"/>
      <w:szCs w:val="16"/>
    </w:rPr>
  </w:style>
  <w:style w:type="paragraph" w:customStyle="1" w:styleId="6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8">
    <w:name w:val="List Paragraph1"/>
    <w:basedOn w:val="1"/>
    <w:unhideWhenUsed/>
    <w:qFormat/>
    <w:uiPriority w:val="34"/>
    <w:pPr>
      <w:ind w:firstLine="420" w:firstLineChars="200"/>
    </w:pPr>
    <w:rPr>
      <w:rFonts w:ascii="Calibri" w:hAnsi="Calibri" w:eastAsia="宋体"/>
      <w:szCs w:val="22"/>
    </w:rPr>
  </w:style>
  <w:style w:type="character" w:customStyle="1" w:styleId="69">
    <w:name w:val="正文2 Char"/>
    <w:link w:val="70"/>
    <w:uiPriority w:val="0"/>
    <w:rPr>
      <w:sz w:val="24"/>
    </w:rPr>
  </w:style>
  <w:style w:type="paragraph" w:customStyle="1" w:styleId="70">
    <w:name w:val="正文2"/>
    <w:basedOn w:val="1"/>
    <w:link w:val="69"/>
    <w:qFormat/>
    <w:uiPriority w:val="0"/>
    <w:pPr>
      <w:spacing w:before="156" w:line="360" w:lineRule="auto"/>
      <w:ind w:firstLine="510" w:firstLineChars="200"/>
    </w:pPr>
    <w:rPr>
      <w:rFonts w:ascii="Calibri" w:hAnsi="Calibri" w:eastAsia="宋体"/>
      <w:kern w:val="0"/>
      <w:sz w:val="24"/>
      <w:szCs w:val="20"/>
    </w:rPr>
  </w:style>
  <w:style w:type="paragraph" w:styleId="71">
    <w:name w:val="List Paragraph"/>
    <w:basedOn w:val="1"/>
    <w:unhideWhenUsed/>
    <w:qFormat/>
    <w:uiPriority w:val="1"/>
    <w:pPr>
      <w:ind w:firstLine="420" w:firstLineChars="200"/>
    </w:pPr>
    <w:rPr>
      <w:rFonts w:eastAsia="宋体"/>
    </w:rPr>
  </w:style>
  <w:style w:type="character" w:customStyle="1" w:styleId="72">
    <w:name w:val="批注主题 Char"/>
    <w:basedOn w:val="50"/>
    <w:link w:val="22"/>
    <w:qFormat/>
    <w:uiPriority w:val="0"/>
    <w:rPr>
      <w:rFonts w:eastAsia="Times New Roman"/>
      <w:b/>
      <w:bCs/>
    </w:rPr>
  </w:style>
  <w:style w:type="paragraph" w:customStyle="1" w:styleId="73">
    <w:name w:val="Revision"/>
    <w:hidden/>
    <w:unhideWhenUsed/>
    <w:qFormat/>
    <w:uiPriority w:val="99"/>
    <w:rPr>
      <w:rFonts w:ascii="Times New Roman" w:hAnsi="Times New Roman" w:eastAsia="Times New Roman" w:cs="Times New Roman"/>
      <w:kern w:val="2"/>
      <w:sz w:val="21"/>
      <w:szCs w:val="24"/>
      <w:lang w:val="en-US" w:eastAsia="zh-CN" w:bidi="ar-SA"/>
    </w:rPr>
  </w:style>
  <w:style w:type="paragraph" w:customStyle="1" w:styleId="74">
    <w:name w:val="0正文"/>
    <w:basedOn w:val="1"/>
    <w:qFormat/>
    <w:uiPriority w:val="0"/>
    <w:pPr>
      <w:adjustRightInd w:val="0"/>
      <w:ind w:firstLine="200" w:firstLineChars="200"/>
      <w:textAlignment w:val="baseline"/>
    </w:pPr>
    <w:rPr>
      <w:rFonts w:ascii="Verdana" w:hAnsi="Verdana" w:eastAsia="宋体"/>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51"/>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88401-91F3-4D96-AA7D-AC20A5579B6B}">
  <ds:schemaRefs/>
</ds:datastoreItem>
</file>

<file path=docProps/app.xml><?xml version="1.0" encoding="utf-8"?>
<Properties xmlns="http://schemas.openxmlformats.org/officeDocument/2006/extended-properties" xmlns:vt="http://schemas.openxmlformats.org/officeDocument/2006/docPropsVTypes">
  <Template>Normal.dotm</Template>
  <Pages>84</Pages>
  <Words>7049</Words>
  <Characters>40180</Characters>
  <Lines>334</Lines>
  <Paragraphs>94</Paragraphs>
  <TotalTime>1</TotalTime>
  <ScaleCrop>false</ScaleCrop>
  <LinksUpToDate>false</LinksUpToDate>
  <CharactersWithSpaces>47135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2019-08-31T07:55:00Z</dcterms:created>
  <dc:creator>a</dc:creator>
  <cp:lastModifiedBy>a</cp:lastModifiedBy>
  <cp:lastPrinted>2019-09-11T01:28:00Z</cp:lastPrinted>
  <dcterms:modified xsi:type="dcterms:W3CDTF">2019-10-12T04:31:04Z</dcterms:modified>
  <cp:revision>1745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