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17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6"/>
        <w:gridCol w:w="2816"/>
        <w:gridCol w:w="1149"/>
        <w:gridCol w:w="37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中标公示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5" w:type="pct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项目编号：</w:t>
            </w:r>
          </w:p>
        </w:tc>
        <w:tc>
          <w:tcPr>
            <w:tcW w:w="1474" w:type="pct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SG08202003190102</w:t>
            </w:r>
          </w:p>
        </w:tc>
        <w:tc>
          <w:tcPr>
            <w:tcW w:w="592" w:type="pct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市地编号：</w:t>
            </w:r>
          </w:p>
        </w:tc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SG08202003190102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招标人：</w:t>
            </w:r>
          </w:p>
        </w:tc>
        <w:tc>
          <w:tcPr>
            <w:tcW w:w="0" w:type="auto"/>
            <w:gridSpan w:val="3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山东电工电气日立高压开关有限公司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3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山东电工电气山东日立厂区迁建项目施工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招标范围：</w:t>
            </w:r>
          </w:p>
        </w:tc>
        <w:tc>
          <w:tcPr>
            <w:tcW w:w="0" w:type="auto"/>
            <w:gridSpan w:val="3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图纸范围内含550kV生产厂房，包含三跨无尘车间（一跨为10万级，另两跨为100万级），包括建筑、装饰、通风空调、弱电、消防、采暖、预留预埋、强电、给排水、动力、试验区域接地系统、生产工艺相关施工（含地沟）等相关工程；仓储中心、联合站房、危化品库，包括建筑、装饰、通风排烟、弱电、消防、采暖、预留预埋、强电、给排水、循环水、联合站房内的工艺管道、设备安装等相关工程及室外工程包含室外土建（预留预埋，水池，电缆沟、井，排水沟、井等）、道路、庭院灯、消防管道、热力管道、给排水、户外强弱电、雨水工程等施工图纸、工程量清单范围内所有工程内容施工及保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建设地点：</w:t>
            </w:r>
          </w:p>
        </w:tc>
        <w:tc>
          <w:tcPr>
            <w:tcW w:w="0" w:type="auto"/>
            <w:gridSpan w:val="3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飞跃大道北侧、春秀路以东、春暄路以西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代理单位：</w:t>
            </w:r>
          </w:p>
        </w:tc>
        <w:tc>
          <w:tcPr>
            <w:tcW w:w="0" w:type="auto"/>
            <w:gridSpan w:val="3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山东蓝盾招标代理有限公司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开标日期：</w:t>
            </w:r>
          </w:p>
        </w:tc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2020-05-14 09:30</w:t>
            </w:r>
          </w:p>
        </w:tc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标段数量：</w:t>
            </w:r>
          </w:p>
        </w:tc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E0EFEC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不分标段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"C:/FlyWeb_jnzb/work/javascript:void(0)"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sz w:val="24"/>
                <w:szCs w:val="24"/>
                <w:u w:val="none"/>
              </w:rPr>
              <w:t>唱标记录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tbl>
            <w:tblPr>
              <w:tblStyle w:val="4"/>
              <w:tblW w:w="5000" w:type="pct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7"/>
              <w:gridCol w:w="4184"/>
              <w:gridCol w:w="1962"/>
              <w:gridCol w:w="1513"/>
              <w:gridCol w:w="617"/>
              <w:gridCol w:w="61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投标单位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投标报价（元)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工期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其他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天元建设集团有限公司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106561757.32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王普珺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江苏南通三建集团股份有限公司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104894504.24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高晓罡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中铁十四局集团有限公司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119515057.59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张翔飞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青建集团股份公司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119725012.35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郭冲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中铁建工集团有限公司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119258984.68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王亮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中益诚达建设集团有限公司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119099788.90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陈涛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山东桓台建设工程有限公司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119576202.34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巩芳震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山东国舜建设集团有限公司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112573044.16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刘艳新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"C:/FlyWeb_jnzb/work/javascript:void(0)"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sz w:val="24"/>
                <w:szCs w:val="24"/>
                <w:u w:val="none"/>
              </w:rPr>
              <w:t>否决投标情况汇总表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tbl>
            <w:tblPr>
              <w:tblStyle w:val="4"/>
              <w:tblW w:w="5000" w:type="pct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5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无</w:t>
                  </w:r>
                </w:p>
              </w:tc>
            </w:tr>
          </w:tbl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E0EFEC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"C:/FlyWeb_jnzb/work/javascript:void(0)"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sz w:val="24"/>
                <w:szCs w:val="24"/>
                <w:u w:val="none"/>
              </w:rPr>
              <w:t xml:space="preserve">评委评分汇总表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tbl>
            <w:tblPr>
              <w:tblStyle w:val="4"/>
              <w:tblW w:w="5000" w:type="pct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5"/>
              <w:gridCol w:w="959"/>
              <w:gridCol w:w="959"/>
              <w:gridCol w:w="959"/>
              <w:gridCol w:w="959"/>
              <w:gridCol w:w="959"/>
              <w:gridCol w:w="1107"/>
              <w:gridCol w:w="1062"/>
              <w:gridCol w:w="1062"/>
              <w:gridCol w:w="63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技术标评委1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技术标评委2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技术标评委3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技术标评委4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技术标评委5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技术标平均分(权重)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商务标得分(权重)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资信标得分(权重)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总得分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山东国舜建设集团有限公司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84.5000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92.7000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95.9000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96.5000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90.0000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18.5740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63.8755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11.6535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94.1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天元建设集团有限公司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74.0000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81.8000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79.0000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80.4000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81.4000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16.0540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60.7295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14.7000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91.48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中铁建工集团有限公司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55.0000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74.2000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73.5000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69.2000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66.3000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13.9340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58.6105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14.7000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87.24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中铁十四局集团有限公司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60.0000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73.3000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75.0000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74.0000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71.8000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14.6060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58.2855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14.2500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87.14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青建集团股份公司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62.0000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72.2000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73.5000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69.8000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69.4000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14.0940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57.6940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14.7000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86.49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江苏南通三建集团股份有限公司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71.0000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81.6000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81.0000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80.9000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83.3000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16.2340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57.1870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12.9915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86.41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山东桓台建设工程有限公司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61.0000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78.3000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77.2000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74.0000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70.5000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14.7800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58.4415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10.7550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83.98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中益诚达建设集团有限公司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53.0000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71.6000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75.0000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69.9000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67.8000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13.9540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58.5130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10.6830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83.15</w:t>
                  </w:r>
                </w:p>
              </w:tc>
            </w:tr>
          </w:tbl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"C:/FlyWeb_jnzb/work/javascript:void(0)"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sz w:val="24"/>
                <w:szCs w:val="24"/>
                <w:u w:val="none"/>
              </w:rPr>
              <w:t>中标结果公示表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tbl>
            <w:tblPr>
              <w:tblStyle w:val="4"/>
              <w:tblW w:w="5000" w:type="pct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9"/>
              <w:gridCol w:w="2262"/>
              <w:gridCol w:w="2900"/>
              <w:gridCol w:w="989"/>
              <w:gridCol w:w="1736"/>
              <w:gridCol w:w="440"/>
              <w:gridCol w:w="74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投标人名称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资质等级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投标总报价（元)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质量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工期/天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山东国舜建设集团有限公司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施工总承包-建筑工程-一级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刘艳新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112573044.16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天元建设集团有限公司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施工总承包-建筑工程-特级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王普珺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106561757.32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中铁建工集团有限公司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建筑业-施工总承包-建筑工程-特级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王亮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119258984.68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</w:tr>
          </w:tbl>
          <w:p>
            <w:pPr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"C:/FlyWeb_jnzb/work/javascript:void(0)"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sz w:val="24"/>
                <w:szCs w:val="24"/>
                <w:u w:val="none"/>
              </w:rPr>
              <w:t>项目班子成员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tbl>
            <w:tblPr>
              <w:tblStyle w:val="4"/>
              <w:tblW w:w="5000" w:type="pct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33"/>
              <w:gridCol w:w="936"/>
              <w:gridCol w:w="1241"/>
              <w:gridCol w:w="3607"/>
              <w:gridCol w:w="2157"/>
              <w:gridCol w:w="93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专业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6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天元建设集团有限公司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王普珺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鲁137050703339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建筑工程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庄文杰 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安全员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鲁建安C（2008）1300077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建筑工程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焦明路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安全员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鲁建安C（2015）1300543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安装工程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中铁建工集团有限公司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王键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安全员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京建安C2（2018）0275383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法学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已缴纳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尚洁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安全员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京建安C2（2018）0275387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土木工程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已缴纳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王亮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京137101102048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土木工程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已缴纳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山东国舜建设集团有限公司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葛军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安全员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鲁建安C（2013）0100551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工程造价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已缴纳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刘艳新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鲁137101100427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土木工程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已缴纳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张坤玉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安全员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鲁建安C（2015）0101709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机电一体化工程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已缴纳</w:t>
                  </w:r>
                </w:p>
              </w:tc>
            </w:tr>
          </w:tbl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中标单位：</w:t>
            </w:r>
          </w:p>
        </w:tc>
        <w:tc>
          <w:tcPr>
            <w:tcW w:w="0" w:type="auto"/>
            <w:gridSpan w:val="3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山东国舜建设集团有限公司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中标价：</w:t>
            </w:r>
          </w:p>
        </w:tc>
        <w:tc>
          <w:tcPr>
            <w:tcW w:w="0" w:type="auto"/>
            <w:gridSpan w:val="3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112573044.16元  (中标价为投标总报价)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中标工期：</w:t>
            </w:r>
          </w:p>
        </w:tc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180日历天</w:t>
            </w:r>
          </w:p>
        </w:tc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质量标准：</w:t>
            </w:r>
          </w:p>
        </w:tc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合格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项目规模：</w:t>
            </w:r>
          </w:p>
        </w:tc>
        <w:tc>
          <w:tcPr>
            <w:tcW w:w="0" w:type="auto"/>
            <w:gridSpan w:val="3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30643.04平方米 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公示说明：</w:t>
            </w:r>
          </w:p>
        </w:tc>
        <w:tc>
          <w:tcPr>
            <w:tcW w:w="0" w:type="auto"/>
            <w:gridSpan w:val="3"/>
            <w:shd w:val="clear" w:color="auto" w:fill="E0EFEC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公示时间：</w:t>
            </w:r>
          </w:p>
        </w:tc>
        <w:tc>
          <w:tcPr>
            <w:tcW w:w="0" w:type="auto"/>
            <w:gridSpan w:val="3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2020年5月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日9时30分 - 2020年5月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日17时0分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投诉电话：</w:t>
            </w:r>
          </w:p>
        </w:tc>
        <w:tc>
          <w:tcPr>
            <w:tcW w:w="0" w:type="auto"/>
            <w:gridSpan w:val="3"/>
            <w:shd w:val="clear" w:color="auto" w:fill="E0EFE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0EFEC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0531-88875589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2020年5月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93484"/>
    <w:rsid w:val="036319BA"/>
    <w:rsid w:val="3B302857"/>
    <w:rsid w:val="3CF9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2020-05-15T08:31:00Z</dcterms:created>
  <dc:creator>虫虫</dc:creator>
  <cp:lastModifiedBy>虫虫</cp:lastModifiedBy>
  <dcterms:modified xsi:type="dcterms:W3CDTF">2020-05-18T02:33:23Z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